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b w:val="1"/>
          <w:bCs w:val="1"/>
          <w:sz w:val="30"/>
          <w:szCs w:val="30"/>
        </w:rPr>
      </w:pPr>
      <w:r>
        <w:rPr>
          <w:rFonts w:ascii="Trebuchet MS"/>
          <w:b w:val="1"/>
          <w:bCs w:val="1"/>
          <w:sz w:val="30"/>
          <w:szCs w:val="30"/>
          <w:rtl w:val="0"/>
          <w:lang w:val="en-US"/>
        </w:rPr>
        <w:t>Outcomes of Fontan Surgery in a Developing Country</w:t>
      </w:r>
    </w:p>
    <w:p>
      <w:pPr>
        <w:pStyle w:val="Body A"/>
        <w:jc w:val="center"/>
        <w:rPr>
          <w:sz w:val="16"/>
          <w:szCs w:val="16"/>
        </w:rPr>
      </w:pPr>
      <w:r>
        <w:rPr>
          <w:rFonts w:ascii="Trebuchet MS"/>
          <w:b w:val="1"/>
          <w:bCs w:val="1"/>
          <w:sz w:val="16"/>
          <w:szCs w:val="16"/>
          <w:rtl w:val="0"/>
          <w:lang w:val="en-US"/>
        </w:rPr>
        <w:t>Laraib Javed 1, Rubab Mansoor 2, Muneer Amanullah (corresponding author)</w:t>
      </w:r>
    </w:p>
    <w:p>
      <w:pPr>
        <w:pStyle w:val="Body A"/>
        <w:rPr>
          <w:sz w:val="16"/>
          <w:szCs w:val="16"/>
        </w:rPr>
      </w:pPr>
      <w:r>
        <w:rPr>
          <w:rFonts w:ascii="Calibri" w:cs="Calibri" w:hAnsi="Calibri" w:eastAsia="Calibri"/>
          <w:sz w:val="16"/>
          <w:szCs w:val="16"/>
          <w:rtl w:val="0"/>
          <w:lang w:val="en-US"/>
        </w:rPr>
        <w:t>Speaker: Laraib Javed</w:t>
      </w:r>
    </w:p>
    <w:p>
      <w:pPr>
        <w:pStyle w:val="Body A"/>
        <w:rPr>
          <w:sz w:val="16"/>
          <w:szCs w:val="16"/>
        </w:rPr>
      </w:pPr>
      <w:r>
        <w:rPr>
          <w:rFonts w:ascii="Calibri" w:cs="Calibri" w:hAnsi="Calibri" w:eastAsia="Calibri"/>
          <w:sz w:val="16"/>
          <w:szCs w:val="16"/>
          <w:rtl w:val="0"/>
          <w:lang w:val="en-US"/>
        </w:rPr>
        <w:t>Aga Khan University Hospital, Karachi Pakistan</w:t>
      </w:r>
    </w:p>
    <w:p>
      <w:pPr>
        <w:pStyle w:val="Body A"/>
        <w:rPr>
          <w:rFonts w:ascii="Calibri" w:cs="Calibri" w:hAnsi="Calibri" w:eastAsia="Calibri"/>
          <w:sz w:val="22"/>
          <w:szCs w:val="22"/>
          <w:rtl w:val="0"/>
          <w:lang w:val="en-US"/>
        </w:rPr>
      </w:pP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t>Introduction &amp; Objectives</w:t>
      </w: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t>Pakistan's population has risen to a booming 207.77 million; with it the incidence of congenital heart disease has also increased.Pakistan has one of the highest prevalence  of children born with CHD in the world. Each year around 40-50,000 children are born with heart defects one of which is Single Ventricle Physiology. Untreated Single Ventricle physiology carries a very poor prognosis with the highest risk of mortality in comparison to other CHD.The treatment for single ventricle involves a series of palliative surgeries which finally culminates in the Fontan surgery with the objective of creating a direct connection between the vena cavae and the pulmonary arteries and thus ensuring adequate blood supply to the lungs and  the body.</w:t>
      </w:r>
    </w:p>
    <w:p>
      <w:pPr>
        <w:pStyle w:val="Body A"/>
        <w:rPr>
          <w:rFonts w:ascii="Calibri" w:cs="Calibri" w:hAnsi="Calibri" w:eastAsia="Calibri"/>
          <w:sz w:val="22"/>
          <w:szCs w:val="22"/>
          <w:rtl w:val="0"/>
        </w:rPr>
      </w:pPr>
      <w:r>
        <w:rPr>
          <w:rFonts w:ascii="Calibri" w:cs="Calibri" w:hAnsi="Calibri" w:eastAsia="Calibri"/>
          <w:sz w:val="22"/>
          <w:szCs w:val="22"/>
          <w:rtl w:val="0"/>
          <w:lang w:val="en-US"/>
        </w:rPr>
        <w:t>The median age for this surgery in the west is generally early ranging around 1.7</w:t>
      </w:r>
      <w:r>
        <w:rPr>
          <w:rFonts w:ascii="Calibri" w:cs="Calibri" w:hAnsi="Calibri" w:eastAsia="Calibri"/>
          <w:sz w:val="22"/>
          <w:szCs w:val="22"/>
          <w:rtl w:val="0"/>
          <w:lang w:val="en-US"/>
        </w:rPr>
        <w:t>–</w:t>
      </w:r>
      <w:r>
        <w:rPr>
          <w:rFonts w:ascii="Calibri" w:cs="Calibri" w:hAnsi="Calibri" w:eastAsia="Calibri"/>
          <w:sz w:val="22"/>
          <w:szCs w:val="22"/>
          <w:rtl w:val="0"/>
          <w:lang w:val="en-US"/>
        </w:rPr>
        <w:t>4.8 yrs and the median age for this surgery in Athens,Greece  is around 5.7 years. In Pakistan due to dearth of awareness and resources patients generally present to the hospital at a later stage with ages of patients ranging from 2.6 -21 yr presenting to Aga Khan University Hospital from the past year alone.   There is also a scarcity of research done on Fontan surgery in Pakistan which is paramount to understand and reflect back on the outcomes of this surgery performed here in Pakistan.</w:t>
      </w:r>
    </w:p>
    <w:p>
      <w:pPr>
        <w:pStyle w:val="Body A"/>
        <w:rPr>
          <w:rFonts w:ascii="Calibri" w:cs="Calibri" w:hAnsi="Calibri" w:eastAsia="Calibri"/>
          <w:b w:val="1"/>
          <w:bCs w:val="1"/>
        </w:rPr>
      </w:pPr>
      <w:r>
        <w:rPr>
          <w:rFonts w:ascii="Calibri" w:cs="Calibri" w:hAnsi="Calibri" w:eastAsia="Calibri"/>
          <w:sz w:val="22"/>
          <w:szCs w:val="22"/>
          <w:rtl w:val="0"/>
          <w:lang w:val="en-US"/>
        </w:rPr>
        <w:t>This study therefore serves to assess the overall outcome and success of the Fontan operation  that took place at Aga Khan University Hospital. It will also serve to compare and contrast our results with those found world wide. This study will serve as a stepping stone in the road to fill the vast gap left by the scarcity of research on this topic in Pakistan.</w:t>
      </w:r>
    </w:p>
    <w:p>
      <w:pPr>
        <w:pStyle w:val="Body A"/>
        <w:rPr>
          <w:sz w:val="20"/>
          <w:szCs w:val="20"/>
          <w:lang w:val="en-US"/>
        </w:rPr>
      </w:pPr>
    </w:p>
    <w:p>
      <w:pPr>
        <w:pStyle w:val="Body A A"/>
        <w:spacing w:after="200" w:line="276" w:lineRule="auto"/>
        <w:rPr>
          <w:rFonts w:ascii="Calibri" w:cs="Calibri" w:hAnsi="Calibri" w:eastAsia="Calibri"/>
          <w:sz w:val="22"/>
          <w:szCs w:val="22"/>
          <w:rtl w:val="0"/>
          <w:lang w:val="en-US"/>
        </w:rPr>
      </w:pPr>
      <w:r>
        <w:rPr>
          <w:rFonts w:ascii="Calibri" w:cs="Calibri" w:hAnsi="Calibri" w:eastAsia="Calibri"/>
          <w:sz w:val="22"/>
          <w:szCs w:val="22"/>
          <w:rtl w:val="0"/>
          <w:lang w:val="en-US"/>
        </w:rPr>
        <w:t>Methods</w:t>
      </w:r>
    </w:p>
    <w:p>
      <w:pPr>
        <w:pStyle w:val="Body A A"/>
        <w:spacing w:after="200" w:line="276" w:lineRule="auto"/>
        <w:rPr>
          <w:rFonts w:ascii="Calibri" w:cs="Calibri" w:hAnsi="Calibri" w:eastAsia="Calibri"/>
        </w:rPr>
      </w:pPr>
      <w:r>
        <w:rPr>
          <w:rFonts w:ascii="Calibri" w:cs="Calibri" w:hAnsi="Calibri" w:eastAsia="Calibri"/>
          <w:sz w:val="24"/>
          <w:szCs w:val="24"/>
          <w:rtl w:val="0"/>
          <w:lang w:val="en-US"/>
        </w:rPr>
        <w:t xml:space="preserve"> </w:t>
      </w:r>
      <w:r>
        <w:rPr>
          <w:rFonts w:ascii="Calibri" w:cs="Calibri" w:hAnsi="Calibri" w:eastAsia="Calibri"/>
          <w:sz w:val="22"/>
          <w:szCs w:val="22"/>
          <w:rtl w:val="0"/>
          <w:lang w:val="en-US"/>
        </w:rPr>
        <w:t>A retrospective  case series is conducted. Patients undergoing the Fontan Operation at the Aga Khan University Hospital; Karachi, Pakistan are included from January ( October) 2014 to December 2017.</w:t>
      </w:r>
    </w:p>
    <w:p>
      <w:pPr>
        <w:pStyle w:val="Body A A"/>
        <w:spacing w:line="276" w:lineRule="auto"/>
        <w:rPr>
          <w:rFonts w:ascii="Cambria" w:cs="Cambria" w:hAnsi="Cambria" w:eastAsia="Cambria"/>
        </w:rPr>
      </w:pPr>
      <w:r>
        <w:rPr>
          <w:rFonts w:ascii="Calibri" w:cs="Calibri" w:hAnsi="Calibri" w:eastAsia="Calibri"/>
          <w:sz w:val="22"/>
          <w:szCs w:val="22"/>
          <w:rtl w:val="0"/>
          <w:lang w:val="en-US"/>
        </w:rPr>
        <w:t>Exclusion criteria includes operations performed in the absence of Right Heart Catheterization  and for Fontan operations performed outside of Aga Khan University Hospital. Note is taken of preoperative and postoperative variables. The data is analysed using Statistical Packaging for Social Sciences (SPSS) version 20.</w:t>
      </w:r>
    </w:p>
    <w:p>
      <w:pPr>
        <w:pStyle w:val="Body A A"/>
        <w:spacing w:line="276" w:lineRule="auto"/>
        <w:rPr>
          <w:rFonts w:ascii="Cambria" w:cs="Cambria" w:hAnsi="Cambria" w:eastAsia="Cambria"/>
          <w:sz w:val="20"/>
          <w:szCs w:val="20"/>
          <w:rtl w:val="0"/>
          <w:lang w:val="en-US"/>
        </w:rPr>
      </w:pPr>
    </w:p>
    <w:p>
      <w:pPr>
        <w:pStyle w:val="Body A"/>
        <w:rPr>
          <w:rFonts w:ascii="Times New Roman" w:cs="Times New Roman" w:hAnsi="Times New Roman" w:eastAsia="Times New Roman"/>
          <w:sz w:val="20"/>
          <w:szCs w:val="20"/>
        </w:rPr>
      </w:pPr>
    </w:p>
    <w:p>
      <w:pPr>
        <w:pStyle w:val="Body A"/>
      </w:pPr>
      <w:r>
        <w:rPr>
          <w:rFonts w:ascii="Calibri" w:cs="Calibri" w:hAnsi="Calibri" w:eastAsia="Calibri"/>
          <w:rtl w:val="0"/>
        </w:rPr>
        <w:t>Results</w:t>
      </w: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t>25 patients underwent Fontan surgery at Aga Khan University Hospital of which data of 18 patients could be retrieved. The 18 patients who underwent the Fontan operation 6 (33.3%) were female and 12 (66.7%) were male.15 underwent two stage TCPC and 3 underwent one stage TCPC with the formation of exctracardiac PTFE (polytetrafluoroehylene) conduit. Mean age at operation was 8.5</w:t>
      </w:r>
      <w:r>
        <w:rPr>
          <w:rFonts w:ascii="Calibri" w:cs="Calibri" w:hAnsi="Calibri" w:eastAsia="Calibri"/>
          <w:sz w:val="22"/>
          <w:szCs w:val="22"/>
          <w:rtl w:val="0"/>
          <w:lang w:val="en-US"/>
        </w:rPr>
        <w:t>±</w:t>
      </w:r>
      <w:r>
        <w:rPr>
          <w:rFonts w:ascii="Calibri" w:cs="Calibri" w:hAnsi="Calibri" w:eastAsia="Calibri"/>
          <w:sz w:val="22"/>
          <w:szCs w:val="22"/>
          <w:rtl w:val="0"/>
          <w:lang w:val="en-US"/>
        </w:rPr>
        <w:t xml:space="preserve">4.60years. </w:t>
      </w: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t>6(33.3%)had undergone multistage palliation (stage I and  II), while 9 (50%) had prior bidirectional cavopulmonary shunt (stage II). One patient (5.6%) had a PDA shent placed prior to the bidirectional cavopulmonary shunt. Blalock Taussing shunt was performed in all the patients that underwent stage I palliation and in 1 patient prior to one stage TCPC.</w:t>
      </w:r>
    </w:p>
    <w:p>
      <w:pPr>
        <w:pStyle w:val="Body A"/>
        <w:widowControl w:val="0"/>
        <w:rPr>
          <w:rFonts w:ascii="Calibri" w:cs="Calibri" w:hAnsi="Calibri" w:eastAsia="Calibri"/>
          <w:sz w:val="22"/>
          <w:szCs w:val="22"/>
          <w:rtl w:val="0"/>
          <w:lang w:val="en-US"/>
        </w:rPr>
      </w:pPr>
      <w:r>
        <w:rPr>
          <w:rFonts w:ascii="Calibri" w:cs="Calibri" w:hAnsi="Calibri" w:eastAsia="Calibri"/>
          <w:sz w:val="22"/>
          <w:szCs w:val="22"/>
          <w:rtl w:val="0"/>
          <w:lang w:val="en-US"/>
        </w:rPr>
        <w:t xml:space="preserve"> The mean total pulmonary vascular resistance of the patients was 1.2</w:t>
      </w:r>
      <w:r>
        <w:rPr>
          <w:rFonts w:ascii="Calibri" w:cs="Calibri" w:hAnsi="Calibri" w:eastAsia="Calibri"/>
          <w:sz w:val="22"/>
          <w:szCs w:val="22"/>
          <w:rtl w:val="0"/>
          <w:lang w:val="en-US"/>
        </w:rPr>
        <w:t>±</w:t>
      </w:r>
      <w:r>
        <w:rPr>
          <w:rFonts w:ascii="Calibri" w:cs="Calibri" w:hAnsi="Calibri" w:eastAsia="Calibri"/>
          <w:sz w:val="22"/>
          <w:szCs w:val="22"/>
          <w:rtl w:val="0"/>
          <w:lang w:val="en-US"/>
        </w:rPr>
        <w:t>0.609wu. The mean pulmonary arterial pressure was 13.1</w:t>
      </w:r>
      <w:r>
        <w:rPr>
          <w:rFonts w:ascii="Calibri" w:cs="Calibri" w:hAnsi="Calibri" w:eastAsia="Calibri"/>
          <w:sz w:val="22"/>
          <w:szCs w:val="22"/>
          <w:rtl w:val="0"/>
          <w:lang w:val="en-US"/>
        </w:rPr>
        <w:t>±</w:t>
      </w:r>
      <w:r>
        <w:rPr>
          <w:rFonts w:ascii="Calibri" w:cs="Calibri" w:hAnsi="Calibri" w:eastAsia="Calibri"/>
          <w:sz w:val="22"/>
          <w:szCs w:val="22"/>
          <w:rtl w:val="0"/>
          <w:lang w:val="en-US"/>
        </w:rPr>
        <w:t>2.08 mmHg.The LVEDP was below 15mmHg in all the patients with values ranging from  7-13 mmHg. The mean haemoglobin concentration was 16.8</w:t>
      </w:r>
      <w:r>
        <w:rPr>
          <w:rFonts w:ascii="Calibri" w:cs="Calibri" w:hAnsi="Calibri" w:eastAsia="Calibri"/>
          <w:sz w:val="22"/>
          <w:szCs w:val="22"/>
          <w:rtl w:val="0"/>
          <w:lang w:val="en-US"/>
        </w:rPr>
        <w:t>±</w:t>
      </w:r>
      <w:r>
        <w:rPr>
          <w:rFonts w:ascii="Calibri" w:cs="Calibri" w:hAnsi="Calibri" w:eastAsia="Calibri"/>
          <w:sz w:val="22"/>
          <w:szCs w:val="22"/>
          <w:rtl w:val="0"/>
          <w:lang w:val="en-US"/>
        </w:rPr>
        <w:t xml:space="preserve">10.6 </w:t>
      </w:r>
      <w:r>
        <w:rPr>
          <w:rFonts w:ascii="Calibri" w:cs="Calibri" w:hAnsi="Calibri" w:eastAsia="Calibri"/>
          <w:sz w:val="22"/>
          <w:szCs w:val="22"/>
          <w:rtl w:val="0"/>
          <w:lang w:val="pt-PT"/>
        </w:rPr>
        <w:t>g/dl.</w:t>
      </w:r>
      <w:r>
        <w:rPr>
          <w:rFonts w:ascii="Calibri" w:cs="Calibri" w:hAnsi="Calibri" w:eastAsia="Calibri"/>
          <w:sz w:val="22"/>
          <w:szCs w:val="22"/>
          <w:rtl w:val="0"/>
          <w:lang w:val="en-US"/>
        </w:rPr>
        <w:t xml:space="preserve">All the  patients had normal sinus rhythm preoperatively. </w:t>
      </w:r>
    </w:p>
    <w:tbl>
      <w:tblPr>
        <w:tblW w:w="6726"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2242"/>
        <w:gridCol w:w="2242"/>
        <w:gridCol w:w="2242"/>
      </w:tblGrid>
      <w:tr>
        <w:tblPrEx>
          <w:shd w:val="clear" w:color="auto" w:fill="bdc0bf"/>
        </w:tblPrEx>
        <w:trPr>
          <w:trHeight w:val="252" w:hRule="atLeast"/>
          <w:tblHeader/>
        </w:trPr>
        <w:tc>
          <w:tcPr>
            <w:tcW w:type="dxa" w:w="2242"/>
            <w:tcBorders>
              <w:top w:val="nil"/>
              <w:left w:val="nil"/>
              <w:bottom w:val="single" w:color="000000" w:sz="2" w:space="0" w:shadow="0" w:frame="0"/>
              <w:right w:val="nil"/>
            </w:tcBorders>
            <w:shd w:val="clear" w:color="auto" w:fill="fefffe"/>
            <w:tcMar>
              <w:top w:type="dxa" w:w="80"/>
              <w:left w:type="dxa" w:w="80"/>
              <w:bottom w:type="dxa" w:w="80"/>
              <w:right w:type="dxa" w:w="80"/>
            </w:tcMar>
            <w:vAlign w:val="top"/>
          </w:tcPr>
          <w:p/>
        </w:tc>
        <w:tc>
          <w:tcPr>
            <w:tcW w:type="dxa" w:w="2242"/>
            <w:tcBorders>
              <w:top w:val="nil"/>
              <w:left w:val="nil"/>
              <w:bottom w:val="single" w:color="000000" w:sz="2" w:space="0" w:shadow="0" w:frame="0"/>
              <w:right w:val="nil"/>
            </w:tcBorders>
            <w:shd w:val="clear" w:color="auto" w:fill="fefffe"/>
            <w:tcMar>
              <w:top w:type="dxa" w:w="80"/>
              <w:left w:type="dxa" w:w="80"/>
              <w:bottom w:type="dxa" w:w="80"/>
              <w:right w:type="dxa" w:w="80"/>
            </w:tcMar>
            <w:vAlign w:val="top"/>
          </w:tcPr>
          <w:p/>
        </w:tc>
        <w:tc>
          <w:tcPr>
            <w:tcW w:type="dxa" w:w="2242"/>
            <w:tcBorders>
              <w:top w:val="nil"/>
              <w:left w:val="nil"/>
              <w:bottom w:val="single" w:color="000000" w:sz="2" w:space="0" w:shadow="0" w:frame="0"/>
              <w:right w:val="nil"/>
            </w:tcBorders>
            <w:shd w:val="clear" w:color="auto" w:fill="fefffe"/>
            <w:tcMar>
              <w:top w:type="dxa" w:w="80"/>
              <w:left w:type="dxa" w:w="80"/>
              <w:bottom w:type="dxa" w:w="80"/>
              <w:right w:type="dxa" w:w="80"/>
            </w:tcMar>
            <w:vAlign w:val="top"/>
          </w:tcPr>
          <w:p/>
        </w:tc>
      </w:tr>
      <w:tr>
        <w:tblPrEx>
          <w:shd w:val="clear" w:color="auto" w:fill="bdc0bf"/>
        </w:tblPrEx>
        <w:trPr>
          <w:trHeight w:val="268" w:hRule="atLeast"/>
          <w:tblHeader/>
        </w:trPr>
        <w:tc>
          <w:tcPr>
            <w:tcW w:type="dxa" w:w="2242"/>
            <w:tcBorders>
              <w:top w:val="single" w:color="000000" w:sz="2" w:space="0" w:shadow="0" w:frame="0"/>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pPr>
            <w:r>
              <w:rPr>
                <w:caps w:val="0"/>
                <w:smallCaps w:val="0"/>
                <w:strike w:val="0"/>
                <w:dstrike w:val="0"/>
                <w:outline w:val="0"/>
                <w:color w:val="000000"/>
                <w:spacing w:val="0"/>
                <w:kern w:val="0"/>
                <w:position w:val="0"/>
                <w:sz w:val="20"/>
                <w:szCs w:val="20"/>
                <w:u w:val="none" w:color="000000"/>
                <w:vertAlign w:val="baseline"/>
                <w:rtl w:val="0"/>
                <w:lang w:val="fr-FR"/>
              </w:rPr>
              <w:t>Variables</w:t>
            </w:r>
          </w:p>
        </w:tc>
        <w:tc>
          <w:tcPr>
            <w:tcW w:type="dxa" w:w="2242"/>
            <w:tcBorders>
              <w:top w:val="single" w:color="000000" w:sz="2" w:space="0" w:shadow="0" w:frame="0"/>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pPr>
            <w:r>
              <w:rPr>
                <w:caps w:val="0"/>
                <w:smallCaps w:val="0"/>
                <w:strike w:val="0"/>
                <w:dstrike w:val="0"/>
                <w:outline w:val="0"/>
                <w:color w:val="000000"/>
                <w:spacing w:val="0"/>
                <w:kern w:val="0"/>
                <w:position w:val="0"/>
                <w:sz w:val="20"/>
                <w:szCs w:val="20"/>
                <w:u w:val="none" w:color="000000"/>
                <w:vertAlign w:val="baseline"/>
                <w:rtl w:val="0"/>
                <w:lang w:val="en-US"/>
              </w:rPr>
              <w:t>Mean</w:t>
            </w:r>
          </w:p>
        </w:tc>
        <w:tc>
          <w:tcPr>
            <w:tcW w:type="dxa" w:w="2242"/>
            <w:tcBorders>
              <w:top w:val="single" w:color="000000" w:sz="2" w:space="0" w:shadow="0" w:frame="0"/>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pPr>
            <w:r>
              <w:rPr>
                <w:caps w:val="0"/>
                <w:smallCaps w:val="0"/>
                <w:strike w:val="0"/>
                <w:dstrike w:val="0"/>
                <w:outline w:val="0"/>
                <w:color w:val="000000"/>
                <w:spacing w:val="0"/>
                <w:kern w:val="0"/>
                <w:position w:val="0"/>
                <w:sz w:val="20"/>
                <w:szCs w:val="20"/>
                <w:u w:val="none" w:color="000000"/>
                <w:vertAlign w:val="baseline"/>
                <w:rtl w:val="0"/>
                <w:lang w:val="de-DE"/>
              </w:rPr>
              <w:t>Range</w:t>
            </w:r>
          </w:p>
        </w:tc>
      </w:tr>
      <w:tr>
        <w:tblPrEx>
          <w:shd w:val="clear" w:color="auto" w:fill="auto"/>
        </w:tblPrEx>
        <w:trPr>
          <w:trHeight w:val="312" w:hRule="atLeast"/>
        </w:trPr>
        <w:tc>
          <w:tcPr>
            <w:tcW w:type="dxa" w:w="2242"/>
            <w:tcBorders>
              <w:top w:val="single" w:color="406091" w:sz="8" w:space="0" w:shadow="0" w:frame="0"/>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Age (Years)</w:t>
            </w:r>
          </w:p>
        </w:tc>
        <w:tc>
          <w:tcPr>
            <w:tcW w:type="dxa" w:w="2242"/>
            <w:tcBorders>
              <w:top w:val="single" w:color="406091" w:sz="8" w:space="0" w:shadow="0" w:frame="0"/>
              <w:left w:val="nil"/>
              <w:bottom w:val="nil"/>
              <w:right w:val="single" w:color="000000" w:sz="2" w:space="0" w:shadow="0" w:frame="0"/>
            </w:tcBorders>
            <w:shd w:val="clear" w:color="auto" w:fill="auto"/>
            <w:tcMar>
              <w:top w:type="dxa" w:w="80"/>
              <w:left w:type="dxa" w:w="80"/>
              <w:bottom w:type="dxa" w:w="80"/>
              <w:right w:type="dxa" w:w="80"/>
            </w:tcMar>
            <w:vAlign w:val="top"/>
          </w:tcPr>
          <w:p>
            <w:pPr>
              <w:pStyle w:val="Body B"/>
              <w:jc w:val="right"/>
            </w:pPr>
            <w:r>
              <w:rPr>
                <w:rFonts w:ascii="Helvetica"/>
                <w:caps w:val="0"/>
                <w:smallCaps w:val="0"/>
                <w:strike w:val="0"/>
                <w:dstrike w:val="0"/>
                <w:outline w:val="0"/>
                <w:color w:val="000000"/>
                <w:spacing w:val="0"/>
                <w:kern w:val="0"/>
                <w:position w:val="0"/>
                <w:sz w:val="20"/>
                <w:szCs w:val="20"/>
                <w:u w:val="none" w:color="000000"/>
                <w:vertAlign w:val="baseline"/>
                <w:rtl w:val="0"/>
                <w:lang w:val="en-US"/>
              </w:rPr>
              <w:t>8.5</w:t>
            </w:r>
          </w:p>
        </w:tc>
        <w:tc>
          <w:tcPr>
            <w:tcW w:type="dxa" w:w="2242"/>
            <w:tcBorders>
              <w:top w:val="single" w:color="406091" w:sz="8" w:space="0" w:shadow="0" w:frame="0"/>
              <w:left w:val="single" w:color="000000" w:sz="2" w:space="0" w:shadow="0" w:frame="0"/>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2.67-21</w:t>
            </w:r>
          </w:p>
        </w:tc>
      </w:tr>
      <w:tr>
        <w:tblPrEx>
          <w:shd w:val="clear" w:color="auto" w:fill="auto"/>
        </w:tblPrEx>
        <w:trPr>
          <w:trHeight w:val="252" w:hRule="atLeast"/>
        </w:trPr>
        <w:tc>
          <w:tcPr>
            <w:tcW w:type="dxa" w:w="2242"/>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Weight (kg)</w:t>
            </w:r>
          </w:p>
        </w:tc>
        <w:tc>
          <w:tcPr>
            <w:tcW w:type="dxa" w:w="2242"/>
            <w:tcBorders>
              <w:top w:val="nil"/>
              <w:left w:val="nil"/>
              <w:bottom w:val="nil"/>
              <w:right w:val="single" w:color="000000" w:sz="2" w:space="0" w:shadow="0" w:frame="0"/>
            </w:tcBorders>
            <w:shd w:val="clear" w:color="auto" w:fill="eeeeee"/>
            <w:tcMar>
              <w:top w:type="dxa" w:w="80"/>
              <w:left w:type="dxa" w:w="80"/>
              <w:bottom w:type="dxa" w:w="80"/>
              <w:right w:type="dxa" w:w="80"/>
            </w:tcMar>
            <w:vAlign w:val="top"/>
          </w:tcPr>
          <w:p>
            <w:pPr>
              <w:pStyle w:val="Body B"/>
              <w:jc w:val="right"/>
            </w:pPr>
            <w:r>
              <w:rPr>
                <w:rFonts w:ascii="Helvetica"/>
                <w:caps w:val="0"/>
                <w:smallCaps w:val="0"/>
                <w:strike w:val="0"/>
                <w:dstrike w:val="0"/>
                <w:outline w:val="0"/>
                <w:color w:val="000000"/>
                <w:spacing w:val="0"/>
                <w:kern w:val="0"/>
                <w:position w:val="0"/>
                <w:sz w:val="20"/>
                <w:szCs w:val="20"/>
                <w:u w:val="none" w:color="000000"/>
                <w:vertAlign w:val="baseline"/>
                <w:rtl w:val="0"/>
                <w:lang w:val="en-US"/>
              </w:rPr>
              <w:t>23.4</w:t>
            </w:r>
          </w:p>
        </w:tc>
        <w:tc>
          <w:tcPr>
            <w:tcW w:type="dxa" w:w="2242"/>
            <w:tcBorders>
              <w:top w:val="nil"/>
              <w:left w:val="single" w:color="000000" w:sz="2" w:space="0" w:shadow="0" w:frame="0"/>
              <w:bottom w:val="nil"/>
              <w:right w:val="nil"/>
            </w:tcBorders>
            <w:shd w:val="clear" w:color="auto" w:fill="eeeeee"/>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10.5-50</w:t>
            </w:r>
          </w:p>
        </w:tc>
      </w:tr>
      <w:tr>
        <w:tblPrEx>
          <w:shd w:val="clear" w:color="auto" w:fill="auto"/>
        </w:tblPrEx>
        <w:trPr>
          <w:trHeight w:val="252" w:hRule="atLeast"/>
        </w:trPr>
        <w:tc>
          <w:tcPr>
            <w:tcW w:type="dxa" w:w="2242"/>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Height (cm)</w:t>
            </w:r>
          </w:p>
        </w:tc>
        <w:tc>
          <w:tcPr>
            <w:tcW w:type="dxa" w:w="2242"/>
            <w:tcBorders>
              <w:top w:val="nil"/>
              <w:left w:val="nil"/>
              <w:bottom w:val="nil"/>
              <w:right w:val="single" w:color="000000" w:sz="2" w:space="0" w:shadow="0" w:frame="0"/>
            </w:tcBorders>
            <w:shd w:val="clear" w:color="auto" w:fill="auto"/>
            <w:tcMar>
              <w:top w:type="dxa" w:w="80"/>
              <w:left w:type="dxa" w:w="80"/>
              <w:bottom w:type="dxa" w:w="80"/>
              <w:right w:type="dxa" w:w="80"/>
            </w:tcMar>
            <w:vAlign w:val="top"/>
          </w:tcPr>
          <w:p>
            <w:pPr>
              <w:pStyle w:val="Body B"/>
              <w:jc w:val="right"/>
            </w:pPr>
            <w:r>
              <w:rPr>
                <w:rFonts w:ascii="Helvetica"/>
                <w:caps w:val="0"/>
                <w:smallCaps w:val="0"/>
                <w:strike w:val="0"/>
                <w:dstrike w:val="0"/>
                <w:outline w:val="0"/>
                <w:color w:val="000000"/>
                <w:spacing w:val="0"/>
                <w:kern w:val="0"/>
                <w:position w:val="0"/>
                <w:sz w:val="20"/>
                <w:szCs w:val="20"/>
                <w:u w:val="none" w:color="000000"/>
                <w:vertAlign w:val="baseline"/>
                <w:rtl w:val="0"/>
                <w:lang w:val="en-US"/>
              </w:rPr>
              <w:t>115.8</w:t>
            </w:r>
          </w:p>
        </w:tc>
        <w:tc>
          <w:tcPr>
            <w:tcW w:type="dxa" w:w="2242"/>
            <w:tcBorders>
              <w:top w:val="nil"/>
              <w:left w:val="single" w:color="000000" w:sz="2" w:space="0" w:shadow="0" w:frame="0"/>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63-160</w:t>
            </w:r>
          </w:p>
        </w:tc>
      </w:tr>
      <w:tr>
        <w:tblPrEx>
          <w:shd w:val="clear" w:color="auto" w:fill="auto"/>
        </w:tblPrEx>
        <w:trPr>
          <w:trHeight w:val="252" w:hRule="atLeast"/>
        </w:trPr>
        <w:tc>
          <w:tcPr>
            <w:tcW w:type="dxa" w:w="2242"/>
            <w:tcBorders>
              <w:top w:val="nil"/>
              <w:left w:val="nil"/>
              <w:bottom w:val="single" w:color="406091" w:sz="8" w:space="0" w:shadow="0" w:frame="0"/>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BSA</w:t>
            </w:r>
          </w:p>
        </w:tc>
        <w:tc>
          <w:tcPr>
            <w:tcW w:type="dxa" w:w="2242"/>
            <w:tcBorders>
              <w:top w:val="nil"/>
              <w:left w:val="nil"/>
              <w:bottom w:val="single" w:color="406091" w:sz="8" w:space="0" w:shadow="0" w:frame="0"/>
              <w:right w:val="single" w:color="000000" w:sz="2" w:space="0" w:shadow="0" w:frame="0"/>
            </w:tcBorders>
            <w:shd w:val="clear" w:color="auto" w:fill="eeeeee"/>
            <w:tcMar>
              <w:top w:type="dxa" w:w="80"/>
              <w:left w:type="dxa" w:w="80"/>
              <w:bottom w:type="dxa" w:w="80"/>
              <w:right w:type="dxa" w:w="80"/>
            </w:tcMar>
            <w:vAlign w:val="top"/>
          </w:tcPr>
          <w:p>
            <w:pPr>
              <w:pStyle w:val="Body B"/>
              <w:jc w:val="right"/>
            </w:pPr>
            <w:r>
              <w:rPr>
                <w:rFonts w:ascii="Helvetica"/>
                <w:caps w:val="0"/>
                <w:smallCaps w:val="0"/>
                <w:strike w:val="0"/>
                <w:dstrike w:val="0"/>
                <w:outline w:val="0"/>
                <w:color w:val="000000"/>
                <w:spacing w:val="0"/>
                <w:kern w:val="0"/>
                <w:position w:val="0"/>
                <w:sz w:val="20"/>
                <w:szCs w:val="20"/>
                <w:u w:val="none" w:color="000000"/>
                <w:vertAlign w:val="baseline"/>
                <w:rtl w:val="0"/>
                <w:lang w:val="en-US"/>
              </w:rPr>
              <w:t>0.8</w:t>
            </w:r>
          </w:p>
        </w:tc>
        <w:tc>
          <w:tcPr>
            <w:tcW w:type="dxa" w:w="2242"/>
            <w:tcBorders>
              <w:top w:val="nil"/>
              <w:left w:val="single" w:color="000000" w:sz="2" w:space="0" w:shadow="0" w:frame="0"/>
              <w:bottom w:val="single" w:color="406091" w:sz="8" w:space="0" w:shadow="0" w:frame="0"/>
              <w:right w:val="nil"/>
            </w:tcBorders>
            <w:shd w:val="clear" w:color="auto" w:fill="eeeeee"/>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0.49-2</w:t>
            </w:r>
          </w:p>
        </w:tc>
      </w:tr>
      <w:tr>
        <w:tblPrEx>
          <w:shd w:val="clear" w:color="auto" w:fill="auto"/>
        </w:tblPrEx>
        <w:trPr>
          <w:trHeight w:val="312" w:hRule="atLeast"/>
        </w:trPr>
        <w:tc>
          <w:tcPr>
            <w:tcW w:type="dxa" w:w="2242"/>
            <w:tcBorders>
              <w:top w:val="single" w:color="406091" w:sz="8" w:space="0" w:shadow="0" w:frame="0"/>
              <w:left w:val="nil"/>
              <w:bottom w:val="nil"/>
              <w:right w:val="nil"/>
            </w:tcBorders>
            <w:shd w:val="clear" w:color="auto" w:fill="fefffe"/>
            <w:tcMar>
              <w:top w:type="dxa" w:w="80"/>
              <w:left w:type="dxa" w:w="80"/>
              <w:bottom w:type="dxa" w:w="80"/>
              <w:right w:type="dxa" w:w="80"/>
            </w:tcMar>
            <w:vAlign w:val="top"/>
          </w:tcPr>
          <w:p>
            <w:pPr>
              <w:pStyle w:val="Table Style 4"/>
            </w:pPr>
            <w:r>
              <w:rPr>
                <w:caps w:val="0"/>
                <w:smallCaps w:val="0"/>
                <w:strike w:val="0"/>
                <w:dstrike w:val="0"/>
                <w:outline w:val="0"/>
                <w:color w:val="489bc9"/>
                <w:spacing w:val="0"/>
                <w:kern w:val="0"/>
                <w:position w:val="0"/>
                <w:sz w:val="20"/>
                <w:szCs w:val="20"/>
                <w:u w:val="none" w:color="489bc9"/>
                <w:vertAlign w:val="baseline"/>
                <w:rtl w:val="0"/>
                <w:lang w:val="en-US"/>
              </w:rPr>
              <w:t>Table1:Demographics</w:t>
            </w:r>
          </w:p>
        </w:tc>
        <w:tc>
          <w:tcPr>
            <w:tcW w:type="dxa" w:w="2242"/>
            <w:tcBorders>
              <w:top w:val="single" w:color="406091" w:sz="8" w:space="0" w:shadow="0" w:frame="0"/>
              <w:left w:val="nil"/>
              <w:bottom w:val="nil"/>
              <w:right w:val="nil"/>
            </w:tcBorders>
            <w:shd w:val="clear" w:color="auto" w:fill="fefffe"/>
            <w:tcMar>
              <w:top w:type="dxa" w:w="80"/>
              <w:left w:type="dxa" w:w="80"/>
              <w:bottom w:type="dxa" w:w="80"/>
              <w:right w:type="dxa" w:w="80"/>
            </w:tcMar>
            <w:vAlign w:val="top"/>
          </w:tcPr>
          <w:p/>
        </w:tc>
        <w:tc>
          <w:tcPr>
            <w:tcW w:type="dxa" w:w="2242"/>
            <w:tcBorders>
              <w:top w:val="single" w:color="406091" w:sz="8" w:space="0" w:shadow="0" w:frame="0"/>
              <w:left w:val="nil"/>
              <w:bottom w:val="nil"/>
              <w:right w:val="nil"/>
            </w:tcBorders>
            <w:shd w:val="clear" w:color="auto" w:fill="fefffe"/>
            <w:tcMar>
              <w:top w:type="dxa" w:w="80"/>
              <w:left w:type="dxa" w:w="80"/>
              <w:bottom w:type="dxa" w:w="80"/>
              <w:right w:type="dxa" w:w="80"/>
            </w:tcMar>
            <w:vAlign w:val="top"/>
          </w:tcPr>
          <w:p/>
        </w:tc>
      </w:tr>
    </w:tbl>
    <w:p>
      <w:pPr>
        <w:pStyle w:val="Body A"/>
        <w:widowControl w:val="0"/>
        <w:spacing w:line="240" w:lineRule="auto"/>
        <w:rPr>
          <w:rFonts w:ascii="Calibri" w:cs="Calibri" w:hAnsi="Calibri" w:eastAsia="Calibri"/>
          <w:sz w:val="22"/>
          <w:szCs w:val="22"/>
          <w:rtl w:val="0"/>
          <w:lang w:val="en-US"/>
        </w:rPr>
      </w:pPr>
    </w:p>
    <w:p>
      <w:pPr>
        <w:pStyle w:val="Body A"/>
        <w:widowControl w:val="0"/>
        <w:spacing w:line="240" w:lineRule="auto"/>
        <w:rPr>
          <w:rFonts w:ascii="Calibri" w:cs="Calibri" w:hAnsi="Calibri" w:eastAsia="Calibri"/>
          <w:sz w:val="22"/>
          <w:szCs w:val="22"/>
          <w:rtl w:val="0"/>
          <w:lang w:val="en-US"/>
        </w:rPr>
      </w:pPr>
    </w:p>
    <w:p>
      <w:pPr>
        <w:pStyle w:val="Body A"/>
        <w:widowControl w:val="0"/>
        <w:spacing w:line="240" w:lineRule="auto"/>
        <w:rPr>
          <w:rFonts w:ascii="Calibri" w:cs="Calibri" w:hAnsi="Calibri" w:eastAsia="Calibri"/>
          <w:sz w:val="22"/>
          <w:szCs w:val="22"/>
          <w:rtl w:val="0"/>
          <w:lang w:val="en-US"/>
        </w:rPr>
      </w:pPr>
    </w:p>
    <w:p>
      <w:pPr>
        <w:pStyle w:val="Body A"/>
        <w:widowControl w:val="0"/>
        <w:rPr>
          <w:rFonts w:ascii="Calibri" w:cs="Calibri" w:hAnsi="Calibri" w:eastAsia="Calibri"/>
          <w:sz w:val="22"/>
          <w:szCs w:val="22"/>
          <w:rtl w:val="0"/>
          <w:lang w:val="en-US"/>
        </w:rPr>
      </w:pPr>
    </w:p>
    <w:tbl>
      <w:tblPr>
        <w:tblW w:w="6715"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3357"/>
        <w:gridCol w:w="3358"/>
      </w:tblGrid>
      <w:tr>
        <w:tblPrEx>
          <w:shd w:val="clear" w:color="auto" w:fill="bdc0bf"/>
        </w:tblPrEx>
        <w:trPr>
          <w:trHeight w:val="493" w:hRule="atLeast"/>
          <w:tblHeader/>
        </w:trPr>
        <w:tc>
          <w:tcPr>
            <w:tcW w:type="dxa" w:w="3357"/>
            <w:tcBorders>
              <w:top w:val="nil"/>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rPr>
                <w:caps w:val="0"/>
                <w:smallCaps w:val="0"/>
                <w:strike w:val="0"/>
                <w:dstrike w:val="0"/>
                <w:outline w:val="0"/>
                <w:color w:val="000000"/>
                <w:spacing w:val="0"/>
                <w:kern w:val="0"/>
                <w:position w:val="0"/>
                <w:sz w:val="20"/>
                <w:szCs w:val="20"/>
                <w:u w:val="none" w:color="000000"/>
                <w:vertAlign w:val="baseline"/>
                <w:rtl w:val="0"/>
                <w:lang w:val="fr-FR"/>
              </w:rPr>
            </w:pPr>
            <w:r>
              <w:rPr>
                <w:caps w:val="0"/>
                <w:smallCaps w:val="0"/>
                <w:strike w:val="0"/>
                <w:dstrike w:val="0"/>
                <w:outline w:val="0"/>
                <w:color w:val="000000"/>
                <w:spacing w:val="0"/>
                <w:kern w:val="0"/>
                <w:position w:val="0"/>
                <w:sz w:val="20"/>
                <w:szCs w:val="20"/>
                <w:u w:val="none" w:color="000000"/>
                <w:vertAlign w:val="baseline"/>
                <w:rtl w:val="0"/>
                <w:lang w:val="en-US"/>
              </w:rPr>
              <w:t>Table 2:</w:t>
            </w:r>
          </w:p>
          <w:p>
            <w:pPr>
              <w:pStyle w:val="Table Style 1"/>
            </w:pPr>
            <w:r>
              <w:rPr>
                <w:caps w:val="0"/>
                <w:smallCaps w:val="0"/>
                <w:strike w:val="0"/>
                <w:dstrike w:val="0"/>
                <w:outline w:val="0"/>
                <w:color w:val="000000"/>
                <w:spacing w:val="0"/>
                <w:kern w:val="0"/>
                <w:position w:val="0"/>
                <w:sz w:val="20"/>
                <w:szCs w:val="20"/>
                <w:u w:val="none" w:color="000000"/>
                <w:vertAlign w:val="baseline"/>
                <w:rtl w:val="0"/>
                <w:lang w:val="nl-NL"/>
              </w:rPr>
              <w:t>Procedures</w:t>
            </w:r>
          </w:p>
        </w:tc>
        <w:tc>
          <w:tcPr>
            <w:tcW w:type="dxa" w:w="3358"/>
            <w:tcBorders>
              <w:top w:val="nil"/>
              <w:left w:val="nil"/>
              <w:bottom w:val="single" w:color="406091" w:sz="8" w:space="0" w:shadow="0" w:frame="0"/>
              <w:right w:val="nil"/>
            </w:tcBorders>
            <w:shd w:val="clear" w:color="auto" w:fill="fefffe"/>
            <w:tcMar>
              <w:top w:type="dxa" w:w="80"/>
              <w:left w:type="dxa" w:w="80"/>
              <w:bottom w:type="dxa" w:w="80"/>
              <w:right w:type="dxa" w:w="80"/>
            </w:tcMar>
            <w:vAlign w:val="top"/>
          </w:tcPr>
          <w:p/>
        </w:tc>
      </w:tr>
      <w:tr>
        <w:tblPrEx>
          <w:shd w:val="clear" w:color="auto" w:fill="auto"/>
        </w:tblPrEx>
        <w:trPr>
          <w:trHeight w:val="342" w:hRule="atLeast"/>
        </w:trPr>
        <w:tc>
          <w:tcPr>
            <w:tcW w:type="dxa" w:w="3357"/>
            <w:tcBorders>
              <w:top w:val="single" w:color="406091" w:sz="8" w:space="0" w:shadow="0" w:frame="0"/>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it-IT"/>
              </w:rPr>
              <w:t>Procedure</w:t>
            </w:r>
          </w:p>
        </w:tc>
        <w:tc>
          <w:tcPr>
            <w:tcW w:type="dxa" w:w="3358"/>
            <w:tcBorders>
              <w:top w:val="single" w:color="406091" w:sz="8" w:space="0" w:shadow="0" w:frame="0"/>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pt-PT"/>
              </w:rPr>
              <w:t>Extra cardiac TCPC: 18</w:t>
            </w:r>
          </w:p>
        </w:tc>
      </w:tr>
      <w:tr>
        <w:tblPrEx>
          <w:shd w:val="clear" w:color="auto" w:fill="auto"/>
        </w:tblPrEx>
        <w:trPr>
          <w:trHeight w:val="965" w:hRule="atLeast"/>
        </w:trPr>
        <w:tc>
          <w:tcPr>
            <w:tcW w:type="dxa" w:w="3357"/>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Additional procedure</w:t>
            </w:r>
          </w:p>
        </w:tc>
        <w:tc>
          <w:tcPr>
            <w:tcW w:type="dxa" w:w="3358"/>
            <w:tcBorders>
              <w:top w:val="nil"/>
              <w:left w:val="nil"/>
              <w:bottom w:val="nil"/>
              <w:right w:val="nil"/>
            </w:tcBorders>
            <w:shd w:val="clear" w:color="auto" w:fill="eeeeee"/>
            <w:tcMar>
              <w:top w:type="dxa" w:w="80"/>
              <w:left w:type="dxa" w:w="80"/>
              <w:bottom w:type="dxa" w:w="80"/>
              <w:right w:type="dxa" w:w="80"/>
            </w:tcMar>
            <w:vAlign w:val="top"/>
          </w:tcPr>
          <w:p>
            <w:pPr>
              <w:pStyle w:val="Table Style 2"/>
              <w:rPr>
                <w:caps w:val="0"/>
                <w:smallCaps w:val="0"/>
                <w:strike w:val="0"/>
                <w:dstrike w:val="0"/>
                <w:outline w:val="0"/>
                <w:color w:val="000000"/>
                <w:spacing w:val="0"/>
                <w:kern w:val="0"/>
                <w:position w:val="0"/>
                <w:sz w:val="20"/>
                <w:szCs w:val="20"/>
                <w:u w:val="none" w:color="000000"/>
                <w:vertAlign w:val="baseline"/>
                <w:rtl w:val="0"/>
              </w:rPr>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it-IT"/>
              </w:rPr>
              <w:t>Fenestrations: 15</w:t>
            </w:r>
          </w:p>
          <w:p>
            <w:pPr>
              <w:pStyle w:val="Table Style 2"/>
              <w:rPr>
                <w:caps w:val="0"/>
                <w:smallCaps w:val="0"/>
                <w:strike w:val="0"/>
                <w:dstrike w:val="0"/>
                <w:outline w:val="0"/>
                <w:color w:val="000000"/>
                <w:spacing w:val="0"/>
                <w:kern w:val="0"/>
                <w:position w:val="0"/>
                <w:sz w:val="20"/>
                <w:szCs w:val="20"/>
                <w:u w:val="none" w:color="000000"/>
                <w:vertAlign w:val="baseline"/>
                <w:rtl w:val="0"/>
              </w:rPr>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LPA plasty: 1</w:t>
            </w:r>
          </w:p>
          <w:p>
            <w:pPr>
              <w:pStyle w:val="Table Style 2"/>
              <w:rPr>
                <w:caps w:val="0"/>
                <w:smallCaps w:val="0"/>
                <w:strike w:val="0"/>
                <w:dstrike w:val="0"/>
                <w:outline w:val="0"/>
                <w:color w:val="000000"/>
                <w:spacing w:val="0"/>
                <w:kern w:val="0"/>
                <w:position w:val="0"/>
                <w:sz w:val="20"/>
                <w:szCs w:val="20"/>
                <w:u w:val="none" w:color="000000"/>
                <w:vertAlign w:val="baseline"/>
                <w:rtl w:val="0"/>
              </w:rPr>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PDA ligation &amp; division: 2</w:t>
            </w:r>
          </w:p>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Atrial Septectomy:2</w:t>
            </w:r>
          </w:p>
        </w:tc>
      </w:tr>
    </w:tbl>
    <w:p>
      <w:pPr>
        <w:pStyle w:val="Body A"/>
        <w:widowControl w:val="0"/>
        <w:spacing w:line="240" w:lineRule="auto"/>
        <w:rPr>
          <w:rFonts w:ascii="Calibri" w:cs="Calibri" w:hAnsi="Calibri" w:eastAsia="Calibri"/>
          <w:sz w:val="22"/>
          <w:szCs w:val="22"/>
          <w:rtl w:val="0"/>
          <w:lang w:val="en-US"/>
        </w:rPr>
      </w:pPr>
    </w:p>
    <w:p>
      <w:pPr>
        <w:pStyle w:val="Body A"/>
        <w:widowControl w:val="0"/>
        <w:spacing w:line="240" w:lineRule="auto"/>
        <w:rPr>
          <w:rFonts w:ascii="Calibri" w:cs="Calibri" w:hAnsi="Calibri" w:eastAsia="Calibri"/>
          <w:sz w:val="22"/>
          <w:szCs w:val="22"/>
          <w:rtl w:val="0"/>
          <w:lang w:val="en-US"/>
        </w:rPr>
      </w:pPr>
    </w:p>
    <w:p>
      <w:pPr>
        <w:pStyle w:val="Body A"/>
        <w:widowControl w:val="0"/>
        <w:spacing w:line="240" w:lineRule="auto"/>
        <w:rPr>
          <w:rFonts w:ascii="Calibri" w:cs="Calibri" w:hAnsi="Calibri" w:eastAsia="Calibri"/>
          <w:sz w:val="22"/>
          <w:szCs w:val="22"/>
          <w:rtl w:val="0"/>
          <w:lang w:val="en-US"/>
        </w:rPr>
      </w:pP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t>Mean bypass time was 147.2</w:t>
      </w:r>
      <w:r>
        <w:rPr>
          <w:rFonts w:ascii="Calibri" w:cs="Calibri" w:hAnsi="Calibri" w:eastAsia="Calibri"/>
          <w:sz w:val="22"/>
          <w:szCs w:val="22"/>
          <w:rtl w:val="0"/>
          <w:lang w:val="en-US"/>
        </w:rPr>
        <w:t>±</w:t>
      </w:r>
      <w:r>
        <w:rPr>
          <w:rFonts w:ascii="Calibri" w:cs="Calibri" w:hAnsi="Calibri" w:eastAsia="Calibri"/>
          <w:sz w:val="22"/>
          <w:szCs w:val="22"/>
          <w:rtl w:val="0"/>
          <w:lang w:val="en-US"/>
        </w:rPr>
        <w:t>50.183 minutes, Aortic cross clamp was used in 7 patients  with mean time of 30.3</w:t>
      </w:r>
      <w:r>
        <w:rPr>
          <w:rFonts w:ascii="Calibri" w:cs="Calibri" w:hAnsi="Calibri" w:eastAsia="Calibri"/>
          <w:sz w:val="22"/>
          <w:szCs w:val="22"/>
          <w:rtl w:val="0"/>
          <w:lang w:val="en-US"/>
        </w:rPr>
        <w:t>±</w:t>
      </w:r>
      <w:r>
        <w:rPr>
          <w:rFonts w:ascii="Calibri" w:cs="Calibri" w:hAnsi="Calibri" w:eastAsia="Calibri"/>
          <w:sz w:val="22"/>
          <w:szCs w:val="22"/>
          <w:rtl w:val="0"/>
          <w:lang w:val="en-US"/>
        </w:rPr>
        <w:t>40.318 minutes and the mean minimum temperature was 30.9</w:t>
      </w:r>
      <w:r>
        <w:rPr>
          <w:rFonts w:ascii="Calibri" w:cs="Calibri" w:hAnsi="Calibri" w:eastAsia="Calibri"/>
          <w:sz w:val="22"/>
          <w:szCs w:val="22"/>
          <w:rtl w:val="0"/>
          <w:lang w:val="it-IT"/>
        </w:rPr>
        <w:t>°</w:t>
      </w:r>
      <w:r>
        <w:rPr>
          <w:rFonts w:ascii="Calibri" w:cs="Calibri" w:hAnsi="Calibri" w:eastAsia="Calibri"/>
          <w:sz w:val="22"/>
          <w:szCs w:val="22"/>
          <w:rtl w:val="0"/>
          <w:lang w:val="en-US"/>
        </w:rPr>
        <w:t xml:space="preserve">C </w:t>
      </w:r>
      <w:r>
        <w:rPr>
          <w:rFonts w:ascii="Calibri" w:cs="Calibri" w:hAnsi="Calibri" w:eastAsia="Calibri"/>
          <w:sz w:val="22"/>
          <w:szCs w:val="22"/>
          <w:rtl w:val="0"/>
          <w:lang w:val="en-US"/>
        </w:rPr>
        <w:t>±</w:t>
      </w:r>
      <w:r>
        <w:rPr>
          <w:rFonts w:ascii="Calibri" w:cs="Calibri" w:hAnsi="Calibri" w:eastAsia="Calibri"/>
          <w:sz w:val="22"/>
          <w:szCs w:val="22"/>
          <w:rtl w:val="0"/>
          <w:lang w:val="en-US"/>
        </w:rPr>
        <w:t>3.47. Mean operation time was 5.6</w:t>
      </w:r>
      <w:r>
        <w:rPr>
          <w:rFonts w:ascii="Calibri" w:cs="Calibri" w:hAnsi="Calibri" w:eastAsia="Calibri"/>
          <w:sz w:val="22"/>
          <w:szCs w:val="22"/>
          <w:rtl w:val="0"/>
          <w:lang w:val="en-US"/>
        </w:rPr>
        <w:t xml:space="preserve">± </w:t>
      </w:r>
      <w:r>
        <w:rPr>
          <w:rFonts w:ascii="Calibri" w:cs="Calibri" w:hAnsi="Calibri" w:eastAsia="Calibri"/>
          <w:sz w:val="22"/>
          <w:szCs w:val="22"/>
          <w:rtl w:val="0"/>
          <w:lang w:val="en-US"/>
        </w:rPr>
        <w:t xml:space="preserve">1.07 hrs   Fenestration was performed in 14 (77.8%) patients. </w:t>
      </w: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t xml:space="preserve"> Intraoperative complications included one case of LMCA injury. Operative mortality was 0%. The most frequent post operative complication was prolonged pleural effusion. Mean duration of pleural effusion was 12.7</w:t>
      </w:r>
      <w:r>
        <w:rPr>
          <w:rFonts w:ascii="Calibri" w:cs="Calibri" w:hAnsi="Calibri" w:eastAsia="Calibri"/>
          <w:sz w:val="22"/>
          <w:szCs w:val="22"/>
          <w:rtl w:val="0"/>
          <w:lang w:val="en-US"/>
        </w:rPr>
        <w:t>±</w:t>
      </w:r>
      <w:r>
        <w:rPr>
          <w:rFonts w:ascii="Calibri" w:cs="Calibri" w:hAnsi="Calibri" w:eastAsia="Calibri"/>
          <w:sz w:val="22"/>
          <w:szCs w:val="22"/>
          <w:rtl w:val="0"/>
          <w:lang w:val="en-US"/>
        </w:rPr>
        <w:t>7.19 days. Mean pre-operative oxygen saturations were 73.4</w:t>
      </w:r>
      <w:r>
        <w:rPr>
          <w:rFonts w:ascii="Calibri" w:cs="Calibri" w:hAnsi="Calibri" w:eastAsia="Calibri"/>
          <w:sz w:val="22"/>
          <w:szCs w:val="22"/>
          <w:rtl w:val="0"/>
          <w:lang w:val="en-US"/>
        </w:rPr>
        <w:t>±</w:t>
      </w:r>
      <w:r>
        <w:rPr>
          <w:rFonts w:ascii="Calibri" w:cs="Calibri" w:hAnsi="Calibri" w:eastAsia="Calibri"/>
          <w:sz w:val="22"/>
          <w:szCs w:val="22"/>
          <w:rtl w:val="0"/>
          <w:lang w:val="en-US"/>
        </w:rPr>
        <w:t>9.69  which significantly increased to 83.0</w:t>
      </w:r>
      <w:r>
        <w:rPr>
          <w:rFonts w:ascii="Calibri" w:cs="Calibri" w:hAnsi="Calibri" w:eastAsia="Calibri"/>
          <w:sz w:val="22"/>
          <w:szCs w:val="22"/>
          <w:rtl w:val="0"/>
          <w:lang w:val="en-US"/>
        </w:rPr>
        <w:t>±</w:t>
      </w:r>
      <w:r>
        <w:rPr>
          <w:rFonts w:ascii="Calibri" w:cs="Calibri" w:hAnsi="Calibri" w:eastAsia="Calibri"/>
          <w:sz w:val="22"/>
          <w:szCs w:val="22"/>
          <w:rtl w:val="0"/>
          <w:lang w:val="en-US"/>
        </w:rPr>
        <w:t>9.36 post-operatively.</w:t>
      </w:r>
    </w:p>
    <w:p>
      <w:pPr>
        <w:pStyle w:val="Body A"/>
        <w:rPr>
          <w:rFonts w:ascii="Calibri" w:cs="Calibri" w:hAnsi="Calibri" w:eastAsia="Calibri"/>
          <w:sz w:val="22"/>
          <w:szCs w:val="22"/>
          <w:rtl w:val="0"/>
          <w:lang w:val="en-US"/>
        </w:rPr>
      </w:pPr>
      <w:r>
        <w:rPr>
          <w:rFonts w:ascii="Calibri" w:cs="Calibri" w:hAnsi="Calibri" w:eastAsia="Calibri"/>
          <w:sz w:val="22"/>
          <w:szCs w:val="22"/>
          <w:rtl w:val="0"/>
          <w:lang w:val="en-US"/>
        </w:rPr>
        <w:drawing>
          <wp:anchor distT="152400" distB="152400" distL="152400" distR="152400" simplePos="0" relativeHeight="251659264" behindDoc="0" locked="0" layoutInCell="1" allowOverlap="1">
            <wp:simplePos x="0" y="0"/>
            <wp:positionH relativeFrom="margin">
              <wp:posOffset>-484817</wp:posOffset>
            </wp:positionH>
            <wp:positionV relativeFrom="line">
              <wp:posOffset>266700</wp:posOffset>
            </wp:positionV>
            <wp:extent cx="4448429" cy="2852860"/>
            <wp:effectExtent l="0" t="0" r="0" b="0"/>
            <wp:wrapThrough wrapText="bothSides" distL="152400" distR="152400">
              <wp:wrapPolygon edited="1">
                <wp:start x="0" y="0"/>
                <wp:lineTo x="0" y="21600"/>
                <wp:lineTo x="21600" y="21600"/>
                <wp:lineTo x="21600" y="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pic:nvPicPr>
                  <pic:blipFill>
                    <a:blip r:embed="rId4">
                      <a:extLst/>
                    </a:blip>
                    <a:stretch>
                      <a:fillRect/>
                    </a:stretch>
                  </pic:blipFill>
                  <pic:spPr>
                    <a:xfrm>
                      <a:off x="0" y="0"/>
                      <a:ext cx="4448429" cy="2852860"/>
                    </a:xfrm>
                    <a:prstGeom prst="rect">
                      <a:avLst/>
                    </a:prstGeom>
                    <a:ln w="12700" cap="flat">
                      <a:noFill/>
                      <a:miter lim="400000"/>
                    </a:ln>
                    <a:effectLst/>
                  </pic:spPr>
                </pic:pic>
              </a:graphicData>
            </a:graphic>
          </wp:anchor>
        </w:drawing>
      </w:r>
    </w:p>
    <w:p>
      <w:pPr>
        <w:pStyle w:val="Body A"/>
        <w:rPr>
          <w:rFonts w:ascii="Calibri" w:cs="Calibri" w:hAnsi="Calibri" w:eastAsia="Calibri"/>
          <w:sz w:val="22"/>
          <w:szCs w:val="22"/>
          <w:rtl w:val="0"/>
          <w:lang w:val="en-US"/>
        </w:rPr>
      </w:pPr>
    </w:p>
    <w:p>
      <w:pPr>
        <w:pStyle w:val="Body A"/>
        <w:rPr>
          <w:rFonts w:ascii="Calibri" w:cs="Calibri" w:hAnsi="Calibri" w:eastAsia="Calibri"/>
          <w:sz w:val="22"/>
          <w:szCs w:val="22"/>
          <w:rtl w:val="0"/>
          <w:lang w:val="en-US"/>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r>
        <w:rPr>
          <w:sz w:val="24"/>
          <w:szCs w:val="24"/>
          <w:rtl w:val="0"/>
        </w:rPr>
        <w:drawing>
          <wp:anchor distT="152400" distB="152400" distL="152400" distR="152400" simplePos="0" relativeHeight="251660288" behindDoc="0" locked="0" layoutInCell="1" allowOverlap="1">
            <wp:simplePos x="0" y="0"/>
            <wp:positionH relativeFrom="page">
              <wp:posOffset>908050</wp:posOffset>
            </wp:positionH>
            <wp:positionV relativeFrom="line">
              <wp:posOffset>217658</wp:posOffset>
            </wp:positionV>
            <wp:extent cx="3279065" cy="2942334"/>
            <wp:effectExtent l="0" t="0" r="0" b="0"/>
            <wp:wrapThrough wrapText="bothSides" distL="152400" distR="152400">
              <wp:wrapPolygon edited="1">
                <wp:start x="0" y="0"/>
                <wp:lineTo x="0" y="21600"/>
                <wp:lineTo x="21600" y="21600"/>
                <wp:lineTo x="21600" y="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png"/>
                    <pic:cNvPicPr/>
                  </pic:nvPicPr>
                  <pic:blipFill>
                    <a:blip r:embed="rId5">
                      <a:extLst/>
                    </a:blip>
                    <a:stretch>
                      <a:fillRect/>
                    </a:stretch>
                  </pic:blipFill>
                  <pic:spPr>
                    <a:xfrm>
                      <a:off x="0" y="0"/>
                      <a:ext cx="3279065" cy="2942334"/>
                    </a:xfrm>
                    <a:prstGeom prst="rect">
                      <a:avLst/>
                    </a:prstGeom>
                    <a:ln w="12700" cap="flat">
                      <a:noFill/>
                      <a:miter lim="400000"/>
                    </a:ln>
                    <a:effectLst/>
                  </pic:spPr>
                </pic:pic>
              </a:graphicData>
            </a:graphic>
          </wp:anchor>
        </w:drawing>
      </w: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r>
        <w:rPr>
          <w:rFonts w:ascii="Calibri" w:cs="Calibri" w:hAnsi="Calibri" w:eastAsia="Calibri"/>
          <w:sz w:val="22"/>
          <w:szCs w:val="22"/>
          <w:rtl w:val="0"/>
          <w:lang w:val="en-US"/>
        </w:rPr>
        <w:t>Post operative complications were seen in 14 patients. Thrombi formed in one patient  measuring 7x7 mm in Right Atrium Fontan Conduit which  was treated with anti coagulant therapy. The LPA stenosis persisted in the patient who underwent LPA plasty.</w:t>
      </w:r>
    </w:p>
    <w:p>
      <w:pPr>
        <w:pStyle w:val="Body A"/>
        <w:widowControl w:val="0"/>
        <w:rPr>
          <w:sz w:val="22"/>
          <w:szCs w:val="22"/>
          <w:rtl w:val="0"/>
        </w:rPr>
      </w:pPr>
    </w:p>
    <w:tbl>
      <w:tblPr>
        <w:tblW w:w="9019" w:type="dxa"/>
        <w:jc w:val="left"/>
        <w:tblInd w:w="108" w:type="dxa"/>
        <w:tblBorders>
          <w:top w:val="single" w:color="000000" w:sz="2" w:space="0" w:shadow="0" w:frame="0"/>
          <w:left w:val="single" w:color="000000" w:sz="2" w:space="0" w:shadow="0" w:frame="0"/>
          <w:bottom w:val="single" w:color="000000" w:sz="2" w:space="0" w:shadow="0" w:frame="0"/>
          <w:right w:val="single" w:color="000000" w:sz="2" w:space="0" w:shadow="0" w:frame="0"/>
          <w:insideH w:val="single" w:color="000000" w:sz="2" w:space="0" w:shadow="0" w:frame="0"/>
          <w:insideV w:val="single" w:color="000000" w:sz="2" w:space="0" w:shadow="0" w:frame="0"/>
        </w:tblBorders>
        <w:shd w:val="clear" w:color="auto" w:fill="auto"/>
        <w:tblLayout w:type="fixed"/>
      </w:tblPr>
      <w:tblGrid>
        <w:gridCol w:w="3005"/>
        <w:gridCol w:w="3008"/>
        <w:gridCol w:w="3006"/>
      </w:tblGrid>
      <w:tr>
        <w:tblPrEx>
          <w:shd w:val="clear" w:color="auto" w:fill="bdc0bf"/>
        </w:tblPrEx>
        <w:trPr>
          <w:trHeight w:val="262" w:hRule="atLeast"/>
          <w:tblHeader/>
        </w:trPr>
        <w:tc>
          <w:tcPr>
            <w:tcW w:type="dxa" w:w="3005"/>
            <w:tcBorders>
              <w:top w:val="nil"/>
              <w:left w:val="nil"/>
              <w:bottom w:val="single" w:color="000000" w:sz="2" w:space="0" w:shadow="0" w:frame="0"/>
              <w:right w:val="nil"/>
            </w:tcBorders>
            <w:shd w:val="clear" w:color="auto" w:fill="fefffe"/>
            <w:tcMar>
              <w:top w:type="dxa" w:w="80"/>
              <w:left w:type="dxa" w:w="80"/>
              <w:bottom w:type="dxa" w:w="80"/>
              <w:right w:type="dxa" w:w="80"/>
            </w:tcMar>
            <w:vAlign w:val="top"/>
          </w:tcPr>
          <w:p/>
        </w:tc>
        <w:tc>
          <w:tcPr>
            <w:tcW w:type="dxa" w:w="3008"/>
            <w:tcBorders>
              <w:top w:val="nil"/>
              <w:left w:val="nil"/>
              <w:bottom w:val="single" w:color="000000" w:sz="2" w:space="0" w:shadow="0" w:frame="0"/>
              <w:right w:val="nil"/>
            </w:tcBorders>
            <w:shd w:val="clear" w:color="auto" w:fill="fefffe"/>
            <w:tcMar>
              <w:top w:type="dxa" w:w="80"/>
              <w:left w:type="dxa" w:w="80"/>
              <w:bottom w:type="dxa" w:w="80"/>
              <w:right w:type="dxa" w:w="80"/>
            </w:tcMar>
            <w:vAlign w:val="top"/>
          </w:tcPr>
          <w:p/>
        </w:tc>
        <w:tc>
          <w:tcPr>
            <w:tcW w:type="dxa" w:w="3006"/>
            <w:tcBorders>
              <w:top w:val="nil"/>
              <w:left w:val="nil"/>
              <w:bottom w:val="single" w:color="000000" w:sz="2" w:space="0" w:shadow="0" w:frame="0"/>
              <w:right w:val="nil"/>
            </w:tcBorders>
            <w:shd w:val="clear" w:color="auto" w:fill="fefffe"/>
            <w:tcMar>
              <w:top w:type="dxa" w:w="80"/>
              <w:left w:type="dxa" w:w="80"/>
              <w:bottom w:type="dxa" w:w="80"/>
              <w:right w:type="dxa" w:w="80"/>
            </w:tcMar>
            <w:vAlign w:val="top"/>
          </w:tcPr>
          <w:p/>
        </w:tc>
      </w:tr>
      <w:tr>
        <w:tblPrEx>
          <w:shd w:val="clear" w:color="auto" w:fill="bdc0bf"/>
        </w:tblPrEx>
        <w:trPr>
          <w:trHeight w:val="277" w:hRule="atLeast"/>
          <w:tblHeader/>
        </w:trPr>
        <w:tc>
          <w:tcPr>
            <w:tcW w:type="dxa" w:w="3005"/>
            <w:tcBorders>
              <w:top w:val="single" w:color="000000" w:sz="2" w:space="0" w:shadow="0" w:frame="0"/>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pPr>
            <w:r>
              <w:rPr>
                <w:caps w:val="0"/>
                <w:smallCaps w:val="0"/>
                <w:strike w:val="0"/>
                <w:dstrike w:val="0"/>
                <w:outline w:val="0"/>
                <w:color w:val="000000"/>
                <w:spacing w:val="0"/>
                <w:kern w:val="0"/>
                <w:position w:val="0"/>
                <w:sz w:val="20"/>
                <w:szCs w:val="20"/>
                <w:u w:val="none" w:color="000000"/>
                <w:vertAlign w:val="baseline"/>
                <w:rtl w:val="0"/>
                <w:lang w:val="es-ES_tradnl"/>
              </w:rPr>
              <w:t>Variables:</w:t>
            </w:r>
          </w:p>
        </w:tc>
        <w:tc>
          <w:tcPr>
            <w:tcW w:type="dxa" w:w="3008"/>
            <w:tcBorders>
              <w:top w:val="single" w:color="000000" w:sz="2" w:space="0" w:shadow="0" w:frame="0"/>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pPr>
            <w:r>
              <w:rPr>
                <w:caps w:val="0"/>
                <w:smallCaps w:val="0"/>
                <w:strike w:val="0"/>
                <w:dstrike w:val="0"/>
                <w:outline w:val="0"/>
                <w:color w:val="000000"/>
                <w:spacing w:val="0"/>
                <w:kern w:val="0"/>
                <w:position w:val="0"/>
                <w:sz w:val="20"/>
                <w:szCs w:val="20"/>
                <w:u w:val="none" w:color="000000"/>
                <w:vertAlign w:val="baseline"/>
                <w:rtl w:val="0"/>
                <w:lang w:val="en-US"/>
              </w:rPr>
              <w:t>Mean</w:t>
            </w:r>
          </w:p>
        </w:tc>
        <w:tc>
          <w:tcPr>
            <w:tcW w:type="dxa" w:w="3006"/>
            <w:tcBorders>
              <w:top w:val="single" w:color="000000" w:sz="2" w:space="0" w:shadow="0" w:frame="0"/>
              <w:left w:val="nil"/>
              <w:bottom w:val="single" w:color="406091" w:sz="8" w:space="0" w:shadow="0" w:frame="0"/>
              <w:right w:val="nil"/>
            </w:tcBorders>
            <w:shd w:val="clear" w:color="auto" w:fill="fefffe"/>
            <w:tcMar>
              <w:top w:type="dxa" w:w="80"/>
              <w:left w:type="dxa" w:w="80"/>
              <w:bottom w:type="dxa" w:w="80"/>
              <w:right w:type="dxa" w:w="80"/>
            </w:tcMar>
            <w:vAlign w:val="top"/>
          </w:tcPr>
          <w:p>
            <w:pPr>
              <w:pStyle w:val="Table Style 1"/>
            </w:pPr>
            <w:r>
              <w:rPr>
                <w:caps w:val="0"/>
                <w:smallCaps w:val="0"/>
                <w:strike w:val="0"/>
                <w:dstrike w:val="0"/>
                <w:outline w:val="0"/>
                <w:color w:val="000000"/>
                <w:spacing w:val="0"/>
                <w:kern w:val="0"/>
                <w:position w:val="0"/>
                <w:sz w:val="20"/>
                <w:szCs w:val="20"/>
                <w:u w:val="none" w:color="000000"/>
                <w:vertAlign w:val="baseline"/>
                <w:rtl w:val="0"/>
                <w:lang w:val="de-DE"/>
              </w:rPr>
              <w:t>Range</w:t>
            </w:r>
          </w:p>
        </w:tc>
      </w:tr>
      <w:tr>
        <w:tblPrEx>
          <w:shd w:val="clear" w:color="auto" w:fill="auto"/>
        </w:tblPrEx>
        <w:trPr>
          <w:trHeight w:val="590" w:hRule="atLeast"/>
        </w:trPr>
        <w:tc>
          <w:tcPr>
            <w:tcW w:type="dxa" w:w="3005"/>
            <w:tcBorders>
              <w:top w:val="single" w:color="406091" w:sz="8" w:space="0" w:shadow="0" w:frame="0"/>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fr-FR"/>
              </w:rPr>
              <w:t>Pleural drainage duration (days)</w:t>
            </w:r>
          </w:p>
        </w:tc>
        <w:tc>
          <w:tcPr>
            <w:tcW w:type="dxa" w:w="3008"/>
            <w:tcBorders>
              <w:top w:val="single" w:color="406091" w:sz="8" w:space="0" w:shadow="0" w:frame="0"/>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12.7</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 xml:space="preserve">± </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7.19</w:t>
            </w:r>
          </w:p>
        </w:tc>
        <w:tc>
          <w:tcPr>
            <w:tcW w:type="dxa" w:w="3006"/>
            <w:tcBorders>
              <w:top w:val="single" w:color="406091" w:sz="8" w:space="0" w:shadow="0" w:frame="0"/>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it-IT"/>
              </w:rPr>
              <w:t>6-32</w:t>
            </w:r>
          </w:p>
        </w:tc>
      </w:tr>
      <w:tr>
        <w:tblPrEx>
          <w:shd w:val="clear" w:color="auto" w:fill="auto"/>
        </w:tblPrEx>
        <w:trPr>
          <w:trHeight w:val="520" w:hRule="atLeast"/>
        </w:trPr>
        <w:tc>
          <w:tcPr>
            <w:tcW w:type="dxa" w:w="3005"/>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Intensive care stay duration (days)</w:t>
            </w:r>
          </w:p>
        </w:tc>
        <w:tc>
          <w:tcPr>
            <w:tcW w:type="dxa" w:w="3008"/>
            <w:tcBorders>
              <w:top w:val="nil"/>
              <w:left w:val="nil"/>
              <w:bottom w:val="nil"/>
              <w:right w:val="nil"/>
            </w:tcBorders>
            <w:shd w:val="clear" w:color="auto" w:fill="eeeeee"/>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6.8</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3.07</w:t>
            </w:r>
          </w:p>
        </w:tc>
        <w:tc>
          <w:tcPr>
            <w:tcW w:type="dxa" w:w="3006"/>
            <w:tcBorders>
              <w:top w:val="nil"/>
              <w:left w:val="nil"/>
              <w:bottom w:val="nil"/>
              <w:right w:val="nil"/>
            </w:tcBorders>
            <w:shd w:val="clear" w:color="auto" w:fill="eeeeee"/>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2-13</w:t>
            </w:r>
          </w:p>
        </w:tc>
      </w:tr>
      <w:tr>
        <w:tblPrEx>
          <w:shd w:val="clear" w:color="auto" w:fill="auto"/>
        </w:tblPrEx>
        <w:trPr>
          <w:trHeight w:val="520" w:hRule="atLeast"/>
        </w:trPr>
        <w:tc>
          <w:tcPr>
            <w:tcW w:type="dxa" w:w="3005"/>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Ventilation time (hrs)</w:t>
            </w:r>
          </w:p>
        </w:tc>
        <w:tc>
          <w:tcPr>
            <w:tcW w:type="dxa" w:w="3008"/>
            <w:tcBorders>
              <w:top w:val="nil"/>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31</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 xml:space="preserve">± </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39.993</w:t>
            </w:r>
          </w:p>
        </w:tc>
        <w:tc>
          <w:tcPr>
            <w:tcW w:type="dxa" w:w="3006"/>
            <w:tcBorders>
              <w:top w:val="nil"/>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0-155</w:t>
            </w:r>
          </w:p>
        </w:tc>
      </w:tr>
      <w:tr>
        <w:tblPrEx>
          <w:shd w:val="clear" w:color="auto" w:fill="auto"/>
        </w:tblPrEx>
        <w:trPr>
          <w:trHeight w:val="520" w:hRule="atLeast"/>
        </w:trPr>
        <w:tc>
          <w:tcPr>
            <w:tcW w:type="dxa" w:w="3005"/>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Hospital stay duration (days)</w:t>
            </w:r>
          </w:p>
        </w:tc>
        <w:tc>
          <w:tcPr>
            <w:tcW w:type="dxa" w:w="3008"/>
            <w:tcBorders>
              <w:top w:val="nil"/>
              <w:left w:val="nil"/>
              <w:bottom w:val="nil"/>
              <w:right w:val="nil"/>
            </w:tcBorders>
            <w:shd w:val="clear" w:color="auto" w:fill="eeeeee"/>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12.3</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4.31</w:t>
            </w:r>
          </w:p>
        </w:tc>
        <w:tc>
          <w:tcPr>
            <w:tcW w:type="dxa" w:w="3006"/>
            <w:tcBorders>
              <w:top w:val="nil"/>
              <w:left w:val="nil"/>
              <w:bottom w:val="nil"/>
              <w:right w:val="nil"/>
            </w:tcBorders>
            <w:shd w:val="clear" w:color="auto" w:fill="eeeeee"/>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8-23</w:t>
            </w:r>
          </w:p>
        </w:tc>
      </w:tr>
      <w:tr>
        <w:tblPrEx>
          <w:shd w:val="clear" w:color="auto" w:fill="auto"/>
        </w:tblPrEx>
        <w:trPr>
          <w:trHeight w:val="520" w:hRule="atLeast"/>
        </w:trPr>
        <w:tc>
          <w:tcPr>
            <w:tcW w:type="dxa" w:w="3005"/>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Ejection fraction (%)</w:t>
            </w:r>
          </w:p>
        </w:tc>
        <w:tc>
          <w:tcPr>
            <w:tcW w:type="dxa" w:w="3008"/>
            <w:tcBorders>
              <w:top w:val="nil"/>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50.6</w:t>
            </w:r>
            <w:r>
              <w:rPr>
                <w:rFonts w:ascii="Arial Unicode MS" w:cs="Arial Unicode MS" w:hAnsi="Helvetica" w:eastAsia="Arial Unicode MS" w:hint="default"/>
                <w:caps w:val="0"/>
                <w:smallCaps w:val="0"/>
                <w:strike w:val="0"/>
                <w:dstrike w:val="0"/>
                <w:outline w:val="0"/>
                <w:color w:val="000000"/>
                <w:spacing w:val="0"/>
                <w:kern w:val="0"/>
                <w:position w:val="0"/>
                <w:sz w:val="20"/>
                <w:szCs w:val="20"/>
                <w:u w:val="none" w:color="000000"/>
                <w:vertAlign w:val="baseline"/>
                <w:rtl w:val="0"/>
              </w:rPr>
              <w:t xml:space="preserve">± </w:t>
            </w: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lang w:val="en-US"/>
              </w:rPr>
              <w:t>20.45</w:t>
            </w:r>
          </w:p>
        </w:tc>
        <w:tc>
          <w:tcPr>
            <w:tcW w:type="dxa" w:w="3006"/>
            <w:tcBorders>
              <w:top w:val="nil"/>
              <w:left w:val="nil"/>
              <w:bottom w:val="nil"/>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35-80</w:t>
            </w:r>
          </w:p>
        </w:tc>
      </w:tr>
      <w:tr>
        <w:tblPrEx>
          <w:shd w:val="clear" w:color="auto" w:fill="auto"/>
        </w:tblPrEx>
        <w:trPr>
          <w:trHeight w:val="780" w:hRule="atLeast"/>
        </w:trPr>
        <w:tc>
          <w:tcPr>
            <w:tcW w:type="dxa" w:w="3005"/>
            <w:tcBorders>
              <w:top w:val="nil"/>
              <w:left w:val="nil"/>
              <w:bottom w:val="nil"/>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In Hospital mortality (%)</w:t>
            </w:r>
          </w:p>
        </w:tc>
        <w:tc>
          <w:tcPr>
            <w:tcW w:type="dxa" w:w="3008"/>
            <w:tcBorders>
              <w:top w:val="nil"/>
              <w:left w:val="nil"/>
              <w:bottom w:val="nil"/>
              <w:right w:val="nil"/>
            </w:tcBorders>
            <w:shd w:val="clear" w:color="auto" w:fill="eeeeee"/>
            <w:tcMar>
              <w:top w:type="dxa" w:w="80"/>
              <w:left w:type="dxa" w:w="80"/>
              <w:bottom w:type="dxa" w:w="80"/>
              <w:right w:type="dxa" w:w="80"/>
            </w:tcMar>
            <w:vAlign w:val="top"/>
          </w:tcPr>
          <w:p>
            <w:pPr>
              <w:pStyle w:val="Default"/>
              <w:spacing w:after="240" w:line="260" w:lineRule="atLeast"/>
            </w:pPr>
            <w:r>
              <w:rPr>
                <w:rFonts w:ascii="Times"/>
                <w:caps w:val="0"/>
                <w:smallCaps w:val="0"/>
                <w:strike w:val="0"/>
                <w:dstrike w:val="0"/>
                <w:outline w:val="0"/>
                <w:color w:val="000000"/>
                <w:spacing w:val="0"/>
                <w:kern w:val="0"/>
                <w:position w:val="0"/>
                <w:sz w:val="22"/>
                <w:szCs w:val="22"/>
                <w:u w:val="none" w:color="000000"/>
                <w:vertAlign w:val="baseline"/>
                <w:rtl w:val="0"/>
                <w:lang w:val="en-US"/>
              </w:rPr>
              <w:t>0</w:t>
            </w:r>
          </w:p>
        </w:tc>
        <w:tc>
          <w:tcPr>
            <w:tcW w:type="dxa" w:w="3006"/>
            <w:tcBorders>
              <w:top w:val="nil"/>
              <w:left w:val="nil"/>
              <w:bottom w:val="nil"/>
              <w:right w:val="nil"/>
            </w:tcBorders>
            <w:shd w:val="clear" w:color="auto" w:fill="eeeeee"/>
            <w:tcMar>
              <w:top w:type="dxa" w:w="80"/>
              <w:left w:type="dxa" w:w="80"/>
              <w:bottom w:type="dxa" w:w="80"/>
              <w:right w:type="dxa" w:w="80"/>
            </w:tcMar>
            <w:vAlign w:val="top"/>
          </w:tcPr>
          <w:p/>
        </w:tc>
      </w:tr>
      <w:tr>
        <w:tblPrEx>
          <w:shd w:val="clear" w:color="auto" w:fill="auto"/>
        </w:tblPrEx>
        <w:trPr>
          <w:trHeight w:val="790" w:hRule="atLeast"/>
        </w:trPr>
        <w:tc>
          <w:tcPr>
            <w:tcW w:type="dxa" w:w="3005"/>
            <w:tcBorders>
              <w:top w:val="nil"/>
              <w:left w:val="nil"/>
              <w:bottom w:val="single" w:color="406091" w:sz="8" w:space="0" w:shadow="0" w:frame="0"/>
              <w:right w:val="nil"/>
            </w:tcBorders>
            <w:shd w:val="clear" w:color="auto" w:fill="489bc9"/>
            <w:tcMar>
              <w:top w:type="dxa" w:w="80"/>
              <w:left w:type="dxa" w:w="80"/>
              <w:bottom w:type="dxa" w:w="80"/>
              <w:right w:type="dxa" w:w="80"/>
            </w:tcMar>
            <w:vAlign w:val="top"/>
          </w:tcPr>
          <w:p>
            <w:pPr>
              <w:pStyle w:val="Table Style 3"/>
            </w:pPr>
            <w:r>
              <w:rPr>
                <w:caps w:val="0"/>
                <w:smallCaps w:val="0"/>
                <w:strike w:val="0"/>
                <w:dstrike w:val="0"/>
                <w:outline w:val="0"/>
                <w:color w:val="fefffe"/>
                <w:spacing w:val="0"/>
                <w:kern w:val="0"/>
                <w:position w:val="0"/>
                <w:sz w:val="20"/>
                <w:szCs w:val="20"/>
                <w:u w:val="none" w:color="fefffe"/>
                <w:vertAlign w:val="baseline"/>
                <w:rtl w:val="0"/>
                <w:lang w:val="en-US"/>
              </w:rPr>
              <w:t xml:space="preserve">Peripheral capillary oxygen saturation (%) in outpatient clinic post surgery </w:t>
            </w:r>
          </w:p>
        </w:tc>
        <w:tc>
          <w:tcPr>
            <w:tcW w:type="dxa" w:w="3008"/>
            <w:tcBorders>
              <w:top w:val="nil"/>
              <w:left w:val="nil"/>
              <w:bottom w:val="single" w:color="406091" w:sz="8" w:space="0" w:shadow="0" w:frame="0"/>
              <w:right w:val="nil"/>
            </w:tcBorders>
            <w:shd w:val="clear" w:color="auto" w:fill="auto"/>
            <w:tcMar>
              <w:top w:type="dxa" w:w="80"/>
              <w:left w:type="dxa" w:w="80"/>
              <w:bottom w:type="dxa" w:w="80"/>
              <w:right w:type="dxa" w:w="80"/>
            </w:tcMar>
            <w:vAlign w:val="top"/>
          </w:tcPr>
          <w:p>
            <w:pPr>
              <w:pStyle w:val="Default"/>
              <w:spacing w:after="240" w:line="260" w:lineRule="atLeast"/>
            </w:pPr>
            <w:r>
              <w:rPr>
                <w:rFonts w:ascii="Times"/>
                <w:caps w:val="0"/>
                <w:smallCaps w:val="0"/>
                <w:strike w:val="0"/>
                <w:dstrike w:val="0"/>
                <w:outline w:val="0"/>
                <w:color w:val="000000"/>
                <w:spacing w:val="0"/>
                <w:kern w:val="0"/>
                <w:position w:val="0"/>
                <w:sz w:val="22"/>
                <w:szCs w:val="22"/>
                <w:u w:val="none" w:color="000000"/>
                <w:vertAlign w:val="baseline"/>
                <w:rtl w:val="0"/>
                <w:lang w:val="en-US"/>
              </w:rPr>
              <w:t>83</w:t>
            </w:r>
            <w:r>
              <w:rPr>
                <w:rFonts w:hAnsi="Times" w:hint="default"/>
                <w:caps w:val="0"/>
                <w:smallCaps w:val="0"/>
                <w:strike w:val="0"/>
                <w:dstrike w:val="0"/>
                <w:outline w:val="0"/>
                <w:color w:val="000000"/>
                <w:spacing w:val="0"/>
                <w:kern w:val="0"/>
                <w:position w:val="0"/>
                <w:sz w:val="22"/>
                <w:szCs w:val="22"/>
                <w:u w:val="none" w:color="000000"/>
                <w:vertAlign w:val="baseline"/>
                <w:rtl w:val="0"/>
                <w:lang w:val="en-US"/>
              </w:rPr>
              <w:t>±</w:t>
            </w:r>
            <w:r>
              <w:rPr>
                <w:rFonts w:ascii="Times"/>
                <w:caps w:val="0"/>
                <w:smallCaps w:val="0"/>
                <w:strike w:val="0"/>
                <w:dstrike w:val="0"/>
                <w:outline w:val="0"/>
                <w:color w:val="000000"/>
                <w:spacing w:val="0"/>
                <w:kern w:val="0"/>
                <w:position w:val="0"/>
                <w:sz w:val="22"/>
                <w:szCs w:val="22"/>
                <w:u w:val="none" w:color="000000"/>
                <w:vertAlign w:val="baseline"/>
                <w:rtl w:val="0"/>
                <w:lang w:val="en-US"/>
              </w:rPr>
              <w:t>9.36</w:t>
            </w:r>
          </w:p>
        </w:tc>
        <w:tc>
          <w:tcPr>
            <w:tcW w:type="dxa" w:w="3006"/>
            <w:tcBorders>
              <w:top w:val="nil"/>
              <w:left w:val="nil"/>
              <w:bottom w:val="single" w:color="406091" w:sz="8" w:space="0" w:shadow="0" w:frame="0"/>
              <w:right w:val="nil"/>
            </w:tcBorders>
            <w:shd w:val="clear" w:color="auto" w:fill="auto"/>
            <w:tcMar>
              <w:top w:type="dxa" w:w="80"/>
              <w:left w:type="dxa" w:w="80"/>
              <w:bottom w:type="dxa" w:w="80"/>
              <w:right w:type="dxa" w:w="80"/>
            </w:tcMar>
            <w:vAlign w:val="top"/>
          </w:tcPr>
          <w:p>
            <w:pPr>
              <w:pStyle w:val="Table Style 2"/>
            </w:pPr>
            <w:r>
              <w:rPr>
                <w:rFonts w:ascii="Helvetica" w:cs="Arial Unicode MS" w:hAnsi="Arial Unicode MS" w:eastAsia="Arial Unicode MS"/>
                <w:caps w:val="0"/>
                <w:smallCaps w:val="0"/>
                <w:strike w:val="0"/>
                <w:dstrike w:val="0"/>
                <w:outline w:val="0"/>
                <w:color w:val="000000"/>
                <w:spacing w:val="0"/>
                <w:kern w:val="0"/>
                <w:position w:val="0"/>
                <w:sz w:val="20"/>
                <w:szCs w:val="20"/>
                <w:u w:val="none" w:color="000000"/>
                <w:vertAlign w:val="baseline"/>
                <w:rtl w:val="0"/>
              </w:rPr>
              <w:t>70-98</w:t>
            </w:r>
          </w:p>
        </w:tc>
      </w:tr>
      <w:tr>
        <w:tblPrEx>
          <w:shd w:val="clear" w:color="auto" w:fill="auto"/>
        </w:tblPrEx>
        <w:trPr>
          <w:trHeight w:val="322" w:hRule="atLeast"/>
        </w:trPr>
        <w:tc>
          <w:tcPr>
            <w:tcW w:type="dxa" w:w="3005"/>
            <w:tcBorders>
              <w:top w:val="single" w:color="406091" w:sz="8" w:space="0" w:shadow="0" w:frame="0"/>
              <w:left w:val="nil"/>
              <w:bottom w:val="nil"/>
              <w:right w:val="nil"/>
            </w:tcBorders>
            <w:shd w:val="clear" w:color="auto" w:fill="fefffe"/>
            <w:tcMar>
              <w:top w:type="dxa" w:w="80"/>
              <w:left w:type="dxa" w:w="80"/>
              <w:bottom w:type="dxa" w:w="80"/>
              <w:right w:type="dxa" w:w="80"/>
            </w:tcMar>
            <w:vAlign w:val="top"/>
          </w:tcPr>
          <w:p>
            <w:pPr>
              <w:pStyle w:val="Table Style 4"/>
            </w:pPr>
            <w:r>
              <w:rPr>
                <w:caps w:val="0"/>
                <w:smallCaps w:val="0"/>
                <w:strike w:val="0"/>
                <w:dstrike w:val="0"/>
                <w:outline w:val="0"/>
                <w:color w:val="489bc9"/>
                <w:spacing w:val="0"/>
                <w:kern w:val="0"/>
                <w:position w:val="0"/>
                <w:sz w:val="20"/>
                <w:szCs w:val="20"/>
                <w:u w:val="none" w:color="489bc9"/>
                <w:vertAlign w:val="baseline"/>
                <w:rtl w:val="0"/>
                <w:lang w:val="en-US"/>
              </w:rPr>
              <w:t>Table 3:Outcomes</w:t>
            </w:r>
          </w:p>
        </w:tc>
        <w:tc>
          <w:tcPr>
            <w:tcW w:type="dxa" w:w="3008"/>
            <w:tcBorders>
              <w:top w:val="single" w:color="406091" w:sz="8" w:space="0" w:shadow="0" w:frame="0"/>
              <w:left w:val="nil"/>
              <w:bottom w:val="nil"/>
              <w:right w:val="nil"/>
            </w:tcBorders>
            <w:shd w:val="clear" w:color="auto" w:fill="fefffe"/>
            <w:tcMar>
              <w:top w:type="dxa" w:w="80"/>
              <w:left w:type="dxa" w:w="80"/>
              <w:bottom w:type="dxa" w:w="80"/>
              <w:right w:type="dxa" w:w="80"/>
            </w:tcMar>
            <w:vAlign w:val="top"/>
          </w:tcPr>
          <w:p/>
        </w:tc>
        <w:tc>
          <w:tcPr>
            <w:tcW w:type="dxa" w:w="3006"/>
            <w:tcBorders>
              <w:top w:val="single" w:color="406091" w:sz="8" w:space="0" w:shadow="0" w:frame="0"/>
              <w:left w:val="nil"/>
              <w:bottom w:val="nil"/>
              <w:right w:val="nil"/>
            </w:tcBorders>
            <w:shd w:val="clear" w:color="auto" w:fill="fefffe"/>
            <w:tcMar>
              <w:top w:type="dxa" w:w="80"/>
              <w:left w:type="dxa" w:w="80"/>
              <w:bottom w:type="dxa" w:w="80"/>
              <w:right w:type="dxa" w:w="80"/>
            </w:tcMar>
            <w:vAlign w:val="top"/>
          </w:tcPr>
          <w:p/>
        </w:tc>
      </w:tr>
    </w:tbl>
    <w:p>
      <w:pPr>
        <w:pStyle w:val="Body A"/>
        <w:widowControl w:val="0"/>
        <w:spacing w:line="240" w:lineRule="auto"/>
        <w:rPr>
          <w:sz w:val="22"/>
          <w:szCs w:val="22"/>
          <w:rtl w:val="0"/>
        </w:rPr>
      </w:pPr>
    </w:p>
    <w:p>
      <w:pPr>
        <w:pStyle w:val="Body A"/>
        <w:rPr>
          <w:sz w:val="22"/>
          <w:szCs w:val="22"/>
          <w:rtl w:val="0"/>
        </w:rPr>
      </w:pPr>
    </w:p>
    <w:p>
      <w:pPr>
        <w:pStyle w:val="Body A"/>
        <w:rPr>
          <w:sz w:val="22"/>
          <w:szCs w:val="22"/>
          <w:rtl w:val="0"/>
        </w:rPr>
      </w:pPr>
    </w:p>
    <w:p>
      <w:pPr>
        <w:pStyle w:val="Body A"/>
        <w:rPr>
          <w:sz w:val="22"/>
          <w:szCs w:val="22"/>
          <w:rtl w:val="0"/>
        </w:rPr>
      </w:pPr>
      <w:r>
        <w:rPr>
          <w:rFonts w:ascii="Calibri" w:cs="Calibri" w:hAnsi="Calibri" w:eastAsia="Calibri"/>
          <w:sz w:val="22"/>
          <w:szCs w:val="22"/>
          <w:rtl w:val="0"/>
          <w:lang w:val="en-US"/>
        </w:rPr>
        <w:t>Conclusions:</w:t>
      </w:r>
    </w:p>
    <w:p>
      <w:pPr>
        <w:pStyle w:val="Body A"/>
        <w:rPr>
          <w:lang w:val="en-US"/>
        </w:rPr>
      </w:pPr>
      <w:r>
        <w:rPr>
          <w:rFonts w:ascii="Calibri" w:cs="Calibri" w:hAnsi="Calibri" w:eastAsia="Calibri"/>
          <w:sz w:val="22"/>
          <w:szCs w:val="22"/>
          <w:rtl w:val="0"/>
          <w:lang w:val="en-US"/>
        </w:rPr>
        <w:t>The median age at which this surgery is conducted is significantly higher in our setting with a median of 7.5 years compared to those cited by other international research papers; we also had a higher percentage of patients who underwent fenestration (77.8%) and also had a higher mean ICU stay (6.8 days) and mean ventilation time (31 hrs) with a comparable time for placement of chest tube for drainage along with bypass and aortic cross clamp time. Despite these differences our results showed that  The Fontan Procedure can be performed safely at Aga Khan University Hospital with consistent results.</w:t>
      </w:r>
    </w:p>
    <w:p>
      <w:pPr>
        <w:pStyle w:val="Body A"/>
        <w:rPr>
          <w:sz w:val="22"/>
          <w:szCs w:val="22"/>
          <w:rtl w:val="0"/>
        </w:rPr>
      </w:pPr>
      <w:r>
        <w:rPr>
          <w:rFonts w:ascii="Calibri" w:cs="Calibri" w:hAnsi="Calibri" w:eastAsia="Calibri"/>
          <w:sz w:val="22"/>
          <w:szCs w:val="22"/>
          <w:rtl w:val="0"/>
          <w:lang w:val="en-US"/>
        </w:rPr>
        <w:t xml:space="preserve">The limitations of this study included the small sample size and the retrospective nature of the study. Lack of long term follow up of these patients owing to most patients not belonging to the city of Karachi  is also a hindrance to our research. </w:t>
      </w:r>
    </w:p>
    <w:p>
      <w:pPr>
        <w:pStyle w:val="Body A"/>
      </w:pPr>
      <w:r>
        <w:rPr>
          <w:rFonts w:ascii="Calibri" w:cs="Calibri" w:hAnsi="Calibri" w:eastAsia="Calibri"/>
          <w:sz w:val="22"/>
          <w:szCs w:val="22"/>
          <w:rtl w:val="0"/>
          <w:lang w:val="en-US"/>
        </w:rPr>
        <w:t>The need of the hour is now to increase the database of patients undergoing Fontan surgery at AKUH and to conduct similar researches in other medical centres of Pakistan so as to better understand the implications of this surgery and hence  to optimise the results of the Fontan Procedure</w:t>
      </w:r>
      <w:r>
        <w:rPr>
          <w:rFonts w:ascii="Calibri" w:cs="Calibri" w:hAnsi="Calibri" w:eastAsia="Calibri"/>
          <w:sz w:val="22"/>
          <w:szCs w:val="22"/>
          <w:rtl w:val="0"/>
          <w:lang w:val="en-US"/>
        </w:rPr>
        <w:t>.</w:t>
      </w:r>
    </w:p>
    <w:sectPr>
      <w:headerReference w:type="default" r:id="rId6"/>
      <w:footerReference w:type="default" r:id="rId7"/>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Trebuchet MS">
    <w:charset w:val="00"/>
    <w:family w:val="roman"/>
    <w:pitch w:val="default"/>
  </w:font>
  <w:font w:name="Cambria">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Body A A">
    <w:name w:val="Body A A"/>
    <w:next w:val="Body A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Table Style 1">
    <w:name w:val="Table Style 1"/>
    <w:next w:val="Table Style 1"/>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000000"/>
      <w:spacing w:val="0"/>
      <w:kern w:val="0"/>
      <w:position w:val="0"/>
      <w:sz w:val="20"/>
      <w:szCs w:val="20"/>
      <w:u w:val="none" w:color="000000"/>
      <w:vertAlign w:val="baseline"/>
      <w:lang w:val="fr-FR"/>
    </w:rPr>
  </w:style>
  <w:style w:type="paragraph" w:styleId="Table Style 3">
    <w:name w:val="Table Style 3"/>
    <w:next w:val="Table Style 3"/>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fefffe"/>
      <w:spacing w:val="0"/>
      <w:kern w:val="0"/>
      <w:position w:val="0"/>
      <w:sz w:val="20"/>
      <w:szCs w:val="20"/>
      <w:u w:val="none" w:color="fefffe"/>
      <w:vertAlign w:val="baseline"/>
      <w:lang w:val="en-US"/>
    </w:rPr>
  </w:style>
  <w:style w:type="paragraph" w:styleId="Body B">
    <w:name w:val="Body B"/>
    <w:next w:val="Body B"/>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 Style 2">
    <w:name w:val="Table Style 2"/>
    <w:next w:val="Table Style 2"/>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0"/>
      <w:szCs w:val="20"/>
      <w:u w:val="none" w:color="000000"/>
      <w:vertAlign w:val="baseline"/>
    </w:rPr>
  </w:style>
  <w:style w:type="paragraph" w:styleId="Table Style 4">
    <w:name w:val="Table Style 4"/>
    <w:next w:val="Table Style 4"/>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1"/>
      <w:bCs w:val="1"/>
      <w:i w:val="0"/>
      <w:iCs w:val="0"/>
      <w:caps w:val="0"/>
      <w:smallCaps w:val="0"/>
      <w:strike w:val="0"/>
      <w:dstrike w:val="0"/>
      <w:outline w:val="0"/>
      <w:color w:val="489bc9"/>
      <w:spacing w:val="0"/>
      <w:kern w:val="0"/>
      <w:position w:val="0"/>
      <w:sz w:val="20"/>
      <w:szCs w:val="20"/>
      <w:u w:val="none" w:color="489bc9"/>
      <w:vertAlign w:val="baseline"/>
      <w:lang w:val="en-US"/>
    </w:rPr>
  </w:style>
  <w:style w:type="paragraph" w:styleId="Default">
    <w:name w:val="Default"/>
    <w:next w:val="Default"/>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